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900" w:lineRule="atLeast"/>
        <w:jc w:val="center"/>
        <w:rPr>
          <w:rFonts w:ascii="方正小标宋简体" w:hAnsi="仿宋" w:eastAsia="方正小标宋简体"/>
          <w:b/>
          <w:color w:val="000000"/>
          <w:sz w:val="44"/>
          <w:szCs w:val="44"/>
          <w:highlight w:val="none"/>
        </w:rPr>
      </w:pPr>
      <w:r>
        <w:rPr>
          <w:rStyle w:val="7"/>
          <w:rFonts w:hint="eastAsia" w:ascii="方正小标宋简体" w:hAnsi="仿宋" w:eastAsia="方正小标宋简体"/>
          <w:b w:val="0"/>
          <w:color w:val="000000"/>
          <w:sz w:val="44"/>
          <w:szCs w:val="44"/>
          <w:highlight w:val="none"/>
        </w:rPr>
        <w:t>2022年度驻马店市政协部门预算说明</w:t>
      </w:r>
    </w:p>
    <w:p>
      <w:pPr>
        <w:pStyle w:val="4"/>
        <w:widowControl w:val="0"/>
        <w:shd w:val="clear" w:color="auto" w:fill="FFFFFF"/>
        <w:spacing w:beforeLines="100" w:beforeAutospacing="0" w:afterLines="150" w:afterAutospacing="0" w:line="600" w:lineRule="exact"/>
        <w:ind w:firstLine="722" w:firstLineChars="200"/>
        <w:jc w:val="center"/>
        <w:rPr>
          <w:rStyle w:val="7"/>
          <w:rFonts w:ascii="黑体" w:hAnsi="仿宋" w:eastAsia="黑体"/>
          <w:color w:val="000000"/>
          <w:sz w:val="36"/>
          <w:szCs w:val="36"/>
          <w:highlight w:val="none"/>
        </w:rPr>
      </w:pPr>
      <w:r>
        <w:rPr>
          <w:rStyle w:val="7"/>
          <w:rFonts w:hint="eastAsia" w:ascii="黑体" w:hAnsi="仿宋" w:eastAsia="黑体"/>
          <w:color w:val="000000"/>
          <w:sz w:val="36"/>
          <w:szCs w:val="36"/>
          <w:highlight w:val="none"/>
        </w:rPr>
        <w:t>目</w:t>
      </w:r>
      <w:r>
        <w:rPr>
          <w:rStyle w:val="7"/>
          <w:rFonts w:hint="eastAsia" w:eastAsia="黑体"/>
          <w:color w:val="000000"/>
          <w:sz w:val="36"/>
          <w:szCs w:val="36"/>
          <w:highlight w:val="none"/>
        </w:rPr>
        <w:t>    </w:t>
      </w:r>
      <w:r>
        <w:rPr>
          <w:rStyle w:val="7"/>
          <w:rFonts w:hint="eastAsia" w:ascii="黑体" w:hAnsi="仿宋" w:eastAsia="黑体"/>
          <w:color w:val="000000"/>
          <w:sz w:val="36"/>
          <w:szCs w:val="36"/>
          <w:highlight w:val="none"/>
        </w:rPr>
        <w:t>录</w:t>
      </w:r>
    </w:p>
    <w:p>
      <w:pPr>
        <w:pStyle w:val="4"/>
        <w:widowControl w:val="0"/>
        <w:shd w:val="clear" w:color="auto" w:fill="FFFFFF"/>
        <w:spacing w:before="0" w:beforeAutospacing="0" w:after="0" w:afterAutospacing="0" w:line="600" w:lineRule="exact"/>
        <w:ind w:firstLine="640" w:firstLineChars="200"/>
        <w:rPr>
          <w:rFonts w:ascii="黑体" w:hAnsi="黑体" w:eastAsia="黑体"/>
          <w:color w:val="000000"/>
          <w:sz w:val="32"/>
          <w:szCs w:val="32"/>
          <w:highlight w:val="none"/>
        </w:rPr>
      </w:pPr>
      <w:r>
        <w:rPr>
          <w:rFonts w:hint="eastAsia" w:ascii="黑体" w:hAnsi="黑体" w:eastAsia="黑体"/>
          <w:color w:val="000000"/>
          <w:sz w:val="32"/>
          <w:szCs w:val="32"/>
          <w:highlight w:val="none"/>
        </w:rPr>
        <w:t>第一部分</w:t>
      </w:r>
      <w:r>
        <w:rPr>
          <w:rFonts w:hint="eastAsia" w:eastAsia="黑体"/>
          <w:color w:val="000000"/>
          <w:sz w:val="32"/>
          <w:szCs w:val="32"/>
          <w:highlight w:val="none"/>
        </w:rPr>
        <w:t>  </w:t>
      </w:r>
      <w:r>
        <w:rPr>
          <w:rFonts w:hint="eastAsia" w:ascii="黑体" w:hAnsi="黑体" w:eastAsia="黑体"/>
          <w:color w:val="000000"/>
          <w:sz w:val="32"/>
          <w:szCs w:val="32"/>
          <w:highlight w:val="none"/>
        </w:rPr>
        <w:t>驻马店市政协概况</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一、主要职能</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二、机构设置及预算单位构成</w:t>
      </w:r>
    </w:p>
    <w:p>
      <w:pPr>
        <w:pStyle w:val="4"/>
        <w:widowControl w:val="0"/>
        <w:shd w:val="clear" w:color="auto" w:fill="FFFFFF"/>
        <w:spacing w:before="0" w:beforeAutospacing="0" w:after="0" w:afterAutospacing="0" w:line="600" w:lineRule="exact"/>
        <w:ind w:firstLine="640" w:firstLineChars="200"/>
        <w:jc w:val="both"/>
        <w:rPr>
          <w:rFonts w:ascii="黑体" w:hAnsi="黑体" w:eastAsia="黑体"/>
          <w:color w:val="000000"/>
          <w:sz w:val="32"/>
          <w:szCs w:val="32"/>
          <w:highlight w:val="none"/>
        </w:rPr>
      </w:pPr>
      <w:r>
        <w:rPr>
          <w:rFonts w:hint="eastAsia" w:ascii="黑体" w:hAnsi="黑体" w:eastAsia="黑体"/>
          <w:color w:val="000000"/>
          <w:sz w:val="32"/>
          <w:szCs w:val="32"/>
          <w:highlight w:val="none"/>
        </w:rPr>
        <w:t>第二部分</w:t>
      </w:r>
      <w:r>
        <w:rPr>
          <w:rFonts w:hint="eastAsia" w:eastAsia="黑体"/>
          <w:color w:val="000000"/>
          <w:sz w:val="32"/>
          <w:szCs w:val="32"/>
          <w:highlight w:val="none"/>
        </w:rPr>
        <w:t>  </w:t>
      </w:r>
      <w:r>
        <w:rPr>
          <w:rFonts w:hint="eastAsia" w:ascii="黑体" w:hAnsi="黑体" w:eastAsia="黑体"/>
          <w:color w:val="000000"/>
          <w:sz w:val="32"/>
          <w:szCs w:val="32"/>
          <w:highlight w:val="none"/>
        </w:rPr>
        <w:t>驻马店市政协2022年度部门预算情况说明</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一、收入支出预算总体情况说明</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二、收入预算总体情况说明</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三、支出预算总体情况说明</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四、财政拨款收入支出预算总体情况说明</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五、一般公共预算支出预算情况说明</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六  一般公共预算基本支出预算情况说明</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七、政府性基金预算支出决算情况说明</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八、“三公”经费支出预算情况说明</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九、其他重要事项的情况说明</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黑体" w:hAnsi="黑体" w:eastAsia="黑体"/>
          <w:color w:val="000000"/>
          <w:sz w:val="32"/>
          <w:szCs w:val="32"/>
          <w:highlight w:val="none"/>
        </w:rPr>
        <w:t>第三部分</w:t>
      </w:r>
      <w:r>
        <w:rPr>
          <w:rFonts w:hint="eastAsia" w:eastAsia="黑体"/>
          <w:color w:val="000000"/>
          <w:sz w:val="32"/>
          <w:szCs w:val="32"/>
          <w:highlight w:val="none"/>
        </w:rPr>
        <w:t>  </w:t>
      </w:r>
      <w:r>
        <w:rPr>
          <w:rFonts w:hint="eastAsia" w:ascii="黑体" w:hAnsi="黑体" w:eastAsia="黑体"/>
          <w:color w:val="000000"/>
          <w:sz w:val="32"/>
          <w:szCs w:val="32"/>
          <w:highlight w:val="none"/>
        </w:rPr>
        <w:t>名词解释</w:t>
      </w:r>
    </w:p>
    <w:p>
      <w:pPr>
        <w:pStyle w:val="4"/>
        <w:widowControl w:val="0"/>
        <w:shd w:val="clear" w:color="auto" w:fill="FFFFFF"/>
        <w:spacing w:before="0" w:beforeAutospacing="0" w:after="0" w:afterAutospacing="0" w:line="600" w:lineRule="exact"/>
        <w:ind w:firstLine="640" w:firstLineChars="200"/>
        <w:jc w:val="both"/>
        <w:rPr>
          <w:rFonts w:ascii="黑体" w:hAnsi="黑体" w:eastAsia="黑体"/>
          <w:color w:val="000000"/>
          <w:sz w:val="32"/>
          <w:szCs w:val="32"/>
          <w:highlight w:val="none"/>
        </w:rPr>
      </w:pPr>
      <w:r>
        <w:rPr>
          <w:rFonts w:hint="eastAsia" w:ascii="黑体" w:hAnsi="黑体" w:eastAsia="黑体"/>
          <w:color w:val="000000"/>
          <w:sz w:val="32"/>
          <w:szCs w:val="32"/>
          <w:highlight w:val="none"/>
        </w:rPr>
        <w:t>附件：驻马店市政协2022年度部门预算表</w:t>
      </w:r>
    </w:p>
    <w:p>
      <w:pPr>
        <w:pStyle w:val="4"/>
        <w:widowControl w:val="0"/>
        <w:numPr>
          <w:ilvl w:val="0"/>
          <w:numId w:val="1"/>
        </w:numPr>
        <w:shd w:val="clear" w:color="auto" w:fill="FFFFFF"/>
        <w:spacing w:before="0" w:beforeAutospacing="0" w:after="0" w:afterAutospacing="0" w:line="600" w:lineRule="exact"/>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部门收支总体预算表</w:t>
      </w:r>
    </w:p>
    <w:p>
      <w:pPr>
        <w:pStyle w:val="4"/>
        <w:widowControl w:val="0"/>
        <w:numPr>
          <w:ilvl w:val="0"/>
          <w:numId w:val="1"/>
        </w:numPr>
        <w:shd w:val="clear" w:color="auto" w:fill="FFFFFF"/>
        <w:spacing w:before="0" w:beforeAutospacing="0" w:after="0" w:afterAutospacing="0" w:line="600" w:lineRule="exact"/>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部门收入总体预算表</w:t>
      </w:r>
    </w:p>
    <w:p>
      <w:pPr>
        <w:pStyle w:val="4"/>
        <w:widowControl w:val="0"/>
        <w:numPr>
          <w:ilvl w:val="0"/>
          <w:numId w:val="1"/>
        </w:numPr>
        <w:shd w:val="clear" w:color="auto" w:fill="FFFFFF"/>
        <w:spacing w:before="0" w:beforeAutospacing="0" w:after="0" w:afterAutospacing="0" w:line="600" w:lineRule="exact"/>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部门支出总体预算表</w:t>
      </w:r>
    </w:p>
    <w:p>
      <w:pPr>
        <w:pStyle w:val="4"/>
        <w:widowControl w:val="0"/>
        <w:numPr>
          <w:ilvl w:val="0"/>
          <w:numId w:val="1"/>
        </w:numPr>
        <w:shd w:val="clear" w:color="auto" w:fill="FFFFFF"/>
        <w:spacing w:before="0" w:beforeAutospacing="0" w:after="0" w:afterAutospacing="0" w:line="600" w:lineRule="exact"/>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财政拨款收支总体预算表</w:t>
      </w:r>
    </w:p>
    <w:p>
      <w:pPr>
        <w:pStyle w:val="4"/>
        <w:widowControl w:val="0"/>
        <w:numPr>
          <w:ilvl w:val="0"/>
          <w:numId w:val="1"/>
        </w:numPr>
        <w:shd w:val="clear" w:color="auto" w:fill="FFFFFF"/>
        <w:spacing w:before="0" w:beforeAutospacing="0" w:after="0" w:afterAutospacing="0" w:line="600" w:lineRule="exact"/>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一般公共预算支出预算表</w:t>
      </w:r>
    </w:p>
    <w:p>
      <w:pPr>
        <w:pStyle w:val="4"/>
        <w:widowControl w:val="0"/>
        <w:numPr>
          <w:ilvl w:val="0"/>
          <w:numId w:val="1"/>
        </w:numPr>
        <w:shd w:val="clear" w:color="auto" w:fill="FFFFFF"/>
        <w:spacing w:before="0" w:beforeAutospacing="0" w:after="0" w:afterAutospacing="0" w:line="600" w:lineRule="exact"/>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一般公共预算基本支出表</w:t>
      </w:r>
    </w:p>
    <w:p>
      <w:pPr>
        <w:pStyle w:val="4"/>
        <w:widowControl w:val="0"/>
        <w:numPr>
          <w:ilvl w:val="0"/>
          <w:numId w:val="1"/>
        </w:numPr>
        <w:shd w:val="clear" w:color="auto" w:fill="FFFFFF"/>
        <w:spacing w:before="0" w:beforeAutospacing="0" w:after="0" w:afterAutospacing="0" w:line="600" w:lineRule="exact"/>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支出经济分类汇总表</w:t>
      </w:r>
    </w:p>
    <w:p>
      <w:pPr>
        <w:pStyle w:val="4"/>
        <w:widowControl w:val="0"/>
        <w:numPr>
          <w:ilvl w:val="0"/>
          <w:numId w:val="1"/>
        </w:numPr>
        <w:shd w:val="clear" w:color="auto" w:fill="FFFFFF"/>
        <w:spacing w:before="0" w:beforeAutospacing="0" w:after="0" w:afterAutospacing="0" w:line="600" w:lineRule="exact"/>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一般公共预算“三公”经费预算表</w:t>
      </w:r>
    </w:p>
    <w:p>
      <w:pPr>
        <w:pStyle w:val="4"/>
        <w:widowControl w:val="0"/>
        <w:numPr>
          <w:ilvl w:val="0"/>
          <w:numId w:val="1"/>
        </w:numPr>
        <w:shd w:val="clear" w:color="auto" w:fill="FFFFFF"/>
        <w:spacing w:before="0" w:beforeAutospacing="0" w:after="0" w:afterAutospacing="0" w:line="600" w:lineRule="exact"/>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政府性基金预算支出预算表</w:t>
      </w:r>
    </w:p>
    <w:p>
      <w:pPr>
        <w:pStyle w:val="4"/>
        <w:widowControl w:val="0"/>
        <w:numPr>
          <w:ilvl w:val="0"/>
          <w:numId w:val="1"/>
        </w:numPr>
        <w:shd w:val="clear" w:color="auto" w:fill="FFFFFF"/>
        <w:spacing w:before="0" w:beforeAutospacing="0" w:after="0" w:afterAutospacing="0" w:line="600" w:lineRule="exact"/>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项目支出预算表</w:t>
      </w:r>
    </w:p>
    <w:p>
      <w:pPr>
        <w:pStyle w:val="4"/>
        <w:widowControl w:val="0"/>
        <w:numPr>
          <w:ilvl w:val="0"/>
          <w:numId w:val="1"/>
        </w:numPr>
        <w:shd w:val="clear" w:color="auto" w:fill="FFFFFF"/>
        <w:spacing w:before="0" w:beforeAutospacing="0" w:after="0" w:afterAutospacing="0" w:line="600" w:lineRule="exact"/>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市级部门（单位）整体绩效目标表</w:t>
      </w:r>
    </w:p>
    <w:p>
      <w:pPr>
        <w:pStyle w:val="4"/>
        <w:widowControl w:val="0"/>
        <w:numPr>
          <w:ilvl w:val="0"/>
          <w:numId w:val="1"/>
        </w:numPr>
        <w:shd w:val="clear" w:color="auto" w:fill="FFFFFF"/>
        <w:spacing w:before="0" w:beforeAutospacing="0" w:after="0" w:afterAutospacing="0" w:line="600" w:lineRule="exact"/>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市级部门预算项目绩效目标汇总表</w:t>
      </w:r>
    </w:p>
    <w:p>
      <w:pPr>
        <w:pStyle w:val="4"/>
        <w:widowControl w:val="0"/>
        <w:shd w:val="clear" w:color="auto" w:fill="FFFFFF"/>
        <w:spacing w:before="0" w:beforeAutospacing="0" w:after="0" w:afterAutospacing="0" w:line="600" w:lineRule="exact"/>
        <w:jc w:val="both"/>
        <w:rPr>
          <w:rFonts w:ascii="仿宋" w:hAnsi="仿宋" w:eastAsia="仿宋"/>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both"/>
        <w:rPr>
          <w:rFonts w:ascii="黑体" w:hAnsi="黑体" w:eastAsia="黑体"/>
          <w:color w:val="000000"/>
          <w:sz w:val="32"/>
          <w:szCs w:val="32"/>
          <w:highlight w:val="none"/>
        </w:rPr>
      </w:pPr>
    </w:p>
    <w:p>
      <w:pPr>
        <w:pStyle w:val="4"/>
        <w:widowControl w:val="0"/>
        <w:shd w:val="clear" w:color="auto" w:fill="FFFFFF"/>
        <w:spacing w:beforeLines="100" w:beforeAutospacing="0" w:afterLines="100" w:afterAutospacing="0" w:line="600" w:lineRule="exact"/>
        <w:ind w:firstLine="640" w:firstLineChars="200"/>
        <w:jc w:val="center"/>
        <w:rPr>
          <w:rFonts w:ascii="黑体" w:hAnsi="仿宋" w:eastAsia="黑体"/>
          <w:color w:val="000000"/>
          <w:sz w:val="32"/>
          <w:szCs w:val="32"/>
          <w:highlight w:val="none"/>
        </w:rPr>
      </w:pPr>
    </w:p>
    <w:p>
      <w:pPr>
        <w:pStyle w:val="4"/>
        <w:widowControl w:val="0"/>
        <w:shd w:val="clear" w:color="auto" w:fill="FFFFFF"/>
        <w:spacing w:beforeLines="100" w:beforeAutospacing="0" w:afterLines="100" w:afterAutospacing="0" w:line="600" w:lineRule="exact"/>
        <w:ind w:firstLine="640" w:firstLineChars="200"/>
        <w:jc w:val="center"/>
        <w:rPr>
          <w:rFonts w:ascii="黑体" w:hAnsi="仿宋" w:eastAsia="黑体"/>
          <w:color w:val="000000"/>
          <w:sz w:val="32"/>
          <w:szCs w:val="32"/>
          <w:highlight w:val="none"/>
        </w:rPr>
      </w:pPr>
    </w:p>
    <w:p>
      <w:pPr>
        <w:pStyle w:val="4"/>
        <w:widowControl w:val="0"/>
        <w:shd w:val="clear" w:color="auto" w:fill="FFFFFF"/>
        <w:spacing w:beforeLines="100" w:beforeAutospacing="0" w:afterLines="100" w:afterAutospacing="0" w:line="600" w:lineRule="exact"/>
        <w:ind w:firstLine="640" w:firstLineChars="200"/>
        <w:jc w:val="center"/>
        <w:rPr>
          <w:rFonts w:eastAsia="黑体"/>
          <w:color w:val="000000"/>
          <w:sz w:val="32"/>
          <w:szCs w:val="32"/>
          <w:highlight w:val="none"/>
        </w:rPr>
      </w:pPr>
      <w:r>
        <w:rPr>
          <w:rFonts w:hint="eastAsia" w:ascii="黑体" w:hAnsi="仿宋" w:eastAsia="黑体"/>
          <w:color w:val="000000"/>
          <w:sz w:val="32"/>
          <w:szCs w:val="32"/>
          <w:highlight w:val="none"/>
        </w:rPr>
        <w:t>第一部分</w:t>
      </w:r>
      <w:r>
        <w:rPr>
          <w:rFonts w:hint="eastAsia" w:eastAsia="黑体"/>
          <w:color w:val="000000"/>
          <w:sz w:val="32"/>
          <w:szCs w:val="32"/>
          <w:highlight w:val="none"/>
        </w:rPr>
        <w:t>  </w:t>
      </w:r>
    </w:p>
    <w:p>
      <w:pPr>
        <w:pStyle w:val="4"/>
        <w:widowControl w:val="0"/>
        <w:shd w:val="clear" w:color="auto" w:fill="FFFFFF"/>
        <w:spacing w:beforeLines="100" w:beforeAutospacing="0" w:afterLines="100" w:afterAutospacing="0" w:line="600" w:lineRule="exact"/>
        <w:ind w:firstLine="640" w:firstLineChars="200"/>
        <w:jc w:val="center"/>
        <w:rPr>
          <w:rFonts w:ascii="黑体" w:hAnsi="仿宋" w:eastAsia="黑体"/>
          <w:color w:val="000000"/>
          <w:sz w:val="32"/>
          <w:szCs w:val="32"/>
          <w:highlight w:val="none"/>
        </w:rPr>
      </w:pPr>
      <w:r>
        <w:rPr>
          <w:rFonts w:hint="eastAsia" w:ascii="黑体" w:hAnsi="仿宋" w:eastAsia="黑体"/>
          <w:color w:val="000000"/>
          <w:sz w:val="32"/>
          <w:szCs w:val="32"/>
          <w:highlight w:val="none"/>
        </w:rPr>
        <w:t>驻马店市政协概况</w:t>
      </w: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r>
        <w:rPr>
          <w:rFonts w:hint="eastAsia" w:ascii="黑体" w:hAnsi="仿宋" w:eastAsia="黑体"/>
          <w:color w:val="000000"/>
          <w:sz w:val="32"/>
          <w:szCs w:val="32"/>
          <w:highlight w:val="none"/>
        </w:rPr>
        <w:t>一、驻马店市政协主要职能</w:t>
      </w:r>
    </w:p>
    <w:p>
      <w:pPr>
        <w:overflowPunct w:val="0"/>
        <w:spacing w:line="600" w:lineRule="exact"/>
        <w:ind w:firstLine="480" w:firstLineChars="150"/>
        <w:rPr>
          <w:rFonts w:ascii="仿宋" w:hAnsi="仿宋" w:eastAsia="仿宋"/>
          <w:color w:val="000000"/>
          <w:sz w:val="32"/>
          <w:szCs w:val="32"/>
          <w:highlight w:val="none"/>
        </w:rPr>
      </w:pPr>
      <w:r>
        <w:rPr>
          <w:rFonts w:hint="eastAsia" w:ascii="仿宋" w:hAnsi="仿宋" w:eastAsia="仿宋"/>
          <w:color w:val="000000"/>
          <w:sz w:val="32"/>
          <w:szCs w:val="32"/>
          <w:highlight w:val="none"/>
        </w:rPr>
        <w:t>根据《中国人民政治协商会议章程》和有关规定，驻马店市政协是在中共驻马店市委领导下的一个地方职能部门。主要职责：政治协商和民主监督，组织参加本会的各党派和各族各界人士参政</w:t>
      </w:r>
      <w:r>
        <w:rPr>
          <w:rFonts w:hint="eastAsia" w:ascii="仿宋" w:hAnsi="仿宋" w:eastAsia="仿宋"/>
          <w:color w:val="000000"/>
          <w:sz w:val="32"/>
          <w:szCs w:val="32"/>
          <w:highlight w:val="none"/>
        </w:rPr>
        <w:t>议政。</w:t>
      </w:r>
      <w:r>
        <w:rPr>
          <w:rFonts w:hint="eastAsia" w:ascii="仿宋" w:hAnsi="仿宋" w:eastAsia="仿宋"/>
          <w:color w:val="000000"/>
          <w:sz w:val="32"/>
          <w:szCs w:val="32"/>
          <w:highlight w:val="none"/>
        </w:rPr>
        <w:t>围绕党委政府重要决策出台、重点工作落实、重大活动开展、民生工程推进等组织委员</w:t>
      </w:r>
      <w:bookmarkStart w:id="0" w:name="_GoBack"/>
      <w:bookmarkEnd w:id="0"/>
      <w:r>
        <w:rPr>
          <w:rFonts w:hint="eastAsia" w:ascii="仿宋" w:hAnsi="仿宋" w:eastAsia="仿宋"/>
          <w:color w:val="000000"/>
          <w:sz w:val="32"/>
          <w:szCs w:val="32"/>
          <w:highlight w:val="none"/>
        </w:rPr>
        <w:t>进行协商议政及调研视察；围绕市政协年度工作计划制定，重点工作部署、人事任免事项和推进合作等政协内部事务进行协商。做好提案撰写办理工作、双月协商工作、委员走访工作与民主监督工作。</w:t>
      </w:r>
    </w:p>
    <w:p>
      <w:pPr>
        <w:overflowPunct w:val="0"/>
        <w:spacing w:line="600" w:lineRule="exact"/>
        <w:ind w:firstLine="481" w:firstLineChars="150"/>
        <w:rPr>
          <w:rFonts w:ascii="仿宋" w:hAnsi="仿宋" w:eastAsia="仿宋"/>
          <w:sz w:val="32"/>
          <w:szCs w:val="32"/>
          <w:highlight w:val="none"/>
        </w:rPr>
      </w:pPr>
      <w:r>
        <w:rPr>
          <w:rFonts w:hint="eastAsia" w:ascii="仿宋" w:hAnsi="仿宋" w:eastAsia="仿宋" w:cs="楷体_GB2312"/>
          <w:b/>
          <w:color w:val="000000"/>
          <w:kern w:val="0"/>
          <w:sz w:val="32"/>
          <w:szCs w:val="32"/>
          <w:highlight w:val="none"/>
        </w:rPr>
        <w:t>（一）</w:t>
      </w:r>
      <w:r>
        <w:rPr>
          <w:rFonts w:ascii="仿宋" w:hAnsi="仿宋" w:eastAsia="仿宋" w:cs="楷体_GB2312"/>
          <w:b/>
          <w:color w:val="000000"/>
          <w:kern w:val="0"/>
          <w:sz w:val="32"/>
          <w:szCs w:val="32"/>
          <w:highlight w:val="none"/>
        </w:rPr>
        <w:t xml:space="preserve">办公室工作职责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1、牵头或承办市政协重要工作部署和决定事项的组织实施，并负责对贯彻落实情况进行督促检查。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2、负责市政协全委会、常委会、主席会议以及其它会议、活动的筹备、组织和会务工作，协调政协领导参加的各项重要活动。</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3、负责编发《政协信息》、《驻马店政协》、《社情民意》，为党政和政协领导提供决策依据。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4、负责文电处理和上呈下达工作，组织机关日常值班，搞好档案、保密、印信等管理工作。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5、负责市政协机关的行政事务、财务、车辆管理及后勤等工作，搞好日常接待和服务工作。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6、负责市政协机关人事和计划生育工作。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7、负责市政协机关政工和老干部工作。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8、保持与上级政协及市委办、人大办、政府办等部门的正常联系；保持与政协委员的经常联系，及时反映他们的意见和要求。</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9、加强与市政协各委室、县区政协工作联系，主动配合、协调关系，为开展工作提供方便。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10、完成主席会议和常委会议交办的其它工作。 </w:t>
      </w:r>
    </w:p>
    <w:p>
      <w:pPr>
        <w:overflowPunct w:val="0"/>
        <w:spacing w:line="600" w:lineRule="exact"/>
        <w:ind w:firstLine="481" w:firstLineChars="150"/>
        <w:rPr>
          <w:rFonts w:ascii="仿宋" w:hAnsi="仿宋" w:eastAsia="仿宋"/>
          <w:sz w:val="32"/>
          <w:szCs w:val="32"/>
          <w:highlight w:val="none"/>
        </w:rPr>
      </w:pPr>
      <w:r>
        <w:rPr>
          <w:rFonts w:hint="eastAsia" w:ascii="仿宋" w:hAnsi="仿宋" w:eastAsia="仿宋" w:cs="楷体_GB2312"/>
          <w:b/>
          <w:color w:val="000000"/>
          <w:kern w:val="0"/>
          <w:sz w:val="32"/>
          <w:szCs w:val="32"/>
          <w:highlight w:val="none"/>
        </w:rPr>
        <w:t xml:space="preserve">（二）调研室工作职责 </w:t>
      </w:r>
    </w:p>
    <w:p>
      <w:pPr>
        <w:overflowPunct w:val="0"/>
        <w:spacing w:line="600" w:lineRule="exact"/>
        <w:ind w:firstLine="640" w:firstLineChars="200"/>
        <w:rPr>
          <w:rFonts w:ascii="仿宋" w:hAnsi="仿宋" w:eastAsia="仿宋"/>
          <w:spacing w:val="-8"/>
          <w:sz w:val="32"/>
          <w:szCs w:val="32"/>
          <w:highlight w:val="none"/>
        </w:rPr>
      </w:pPr>
      <w:r>
        <w:rPr>
          <w:rFonts w:hint="eastAsia" w:ascii="仿宋" w:hAnsi="仿宋" w:eastAsia="仿宋" w:cs="仿宋_GB2312"/>
          <w:color w:val="000000"/>
          <w:kern w:val="0"/>
          <w:sz w:val="32"/>
          <w:szCs w:val="32"/>
          <w:highlight w:val="none"/>
        </w:rPr>
        <w:t>1、</w:t>
      </w:r>
      <w:r>
        <w:rPr>
          <w:rFonts w:hint="eastAsia" w:ascii="仿宋" w:hAnsi="仿宋" w:eastAsia="仿宋" w:cs="仿宋_GB2312"/>
          <w:color w:val="000000"/>
          <w:spacing w:val="-8"/>
          <w:kern w:val="0"/>
          <w:sz w:val="32"/>
          <w:szCs w:val="32"/>
          <w:highlight w:val="none"/>
        </w:rPr>
        <w:t>负责市政协常委会重要文件和主要领导讲话的起草工作；</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2、负责研究和宣传中国共产党领导的多党合作和政治协商制度的理论政策，为领导提出建议，提供资料，开展有关政协重要课题的调研；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3、承办主席会议、常务会议交办的其他事项；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4、负责指导和联系县、区政协开展调查研究工作；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5、组织编纂有关统一战线和人民政协的理论、政策、法规及其他相关工作的资料，组织参加有关学术活动；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6、协调和组织全市政协新闻宣传工作，负责市政协重要会议、重要工作的新闻报道的策划和重要新闻稿件的审核，研究室内外媒体对人民政协的报道动态；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7、负责《协商论坛》的编发和对外交流工作；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8、负责政协理论学习、法制讲座、业务培训工作；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9、负责市政协网络信息和资料的编辑更新以及网络的管理和维护；</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10、办理领导交办的其他事项。 </w:t>
      </w:r>
    </w:p>
    <w:p>
      <w:pPr>
        <w:overflowPunct w:val="0"/>
        <w:spacing w:line="600" w:lineRule="exact"/>
        <w:ind w:firstLine="481" w:firstLineChars="150"/>
        <w:rPr>
          <w:rFonts w:ascii="仿宋" w:hAnsi="仿宋" w:eastAsia="仿宋"/>
          <w:sz w:val="32"/>
          <w:szCs w:val="32"/>
          <w:highlight w:val="none"/>
        </w:rPr>
      </w:pPr>
      <w:r>
        <w:rPr>
          <w:rFonts w:hint="eastAsia" w:ascii="仿宋" w:hAnsi="仿宋" w:eastAsia="仿宋" w:cs="楷体_GB2312"/>
          <w:b/>
          <w:color w:val="000000"/>
          <w:kern w:val="0"/>
          <w:sz w:val="32"/>
          <w:szCs w:val="32"/>
          <w:highlight w:val="none"/>
        </w:rPr>
        <w:t xml:space="preserve">（三）委员联络委工作职责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1、负责政协委员的日常联络、服务管理和履行职能的考核、登记、建档工作；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2、负责政协委员的培训工作；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3、组织协调政协委员视察调研；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4、负责政协界别建设和界别活动工作；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5、负责收集社情民意工作；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6、处理政协委员及社会各界人士来信来访事宜。 </w:t>
      </w:r>
    </w:p>
    <w:p>
      <w:pPr>
        <w:overflowPunct w:val="0"/>
        <w:spacing w:line="600" w:lineRule="exact"/>
        <w:ind w:firstLine="481" w:firstLineChars="150"/>
        <w:rPr>
          <w:rFonts w:ascii="仿宋" w:hAnsi="仿宋" w:eastAsia="仿宋"/>
          <w:sz w:val="32"/>
          <w:szCs w:val="32"/>
          <w:highlight w:val="none"/>
        </w:rPr>
      </w:pPr>
      <w:r>
        <w:rPr>
          <w:rFonts w:hint="eastAsia" w:ascii="仿宋" w:hAnsi="仿宋" w:eastAsia="仿宋" w:cs="楷体_GB2312"/>
          <w:b/>
          <w:color w:val="000000"/>
          <w:kern w:val="0"/>
          <w:sz w:val="32"/>
          <w:szCs w:val="32"/>
          <w:highlight w:val="none"/>
        </w:rPr>
        <w:t xml:space="preserve">（四）提案委员会综合科工作职责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1、负责本专门委员会工作计划、工作方案的起草和实施的具体组织服务工作。 </w:t>
      </w:r>
    </w:p>
    <w:p>
      <w:pPr>
        <w:overflowPunct w:val="0"/>
        <w:spacing w:line="600" w:lineRule="exact"/>
        <w:ind w:firstLine="640" w:firstLineChars="200"/>
        <w:rPr>
          <w:rFonts w:ascii="仿宋" w:hAnsi="仿宋" w:eastAsia="仿宋"/>
          <w:spacing w:val="-8"/>
          <w:sz w:val="32"/>
          <w:szCs w:val="32"/>
          <w:highlight w:val="none"/>
        </w:rPr>
      </w:pPr>
      <w:r>
        <w:rPr>
          <w:rFonts w:hint="eastAsia" w:ascii="仿宋" w:hAnsi="仿宋" w:eastAsia="仿宋" w:cs="仿宋_GB2312"/>
          <w:color w:val="000000"/>
          <w:kern w:val="0"/>
          <w:sz w:val="32"/>
          <w:szCs w:val="32"/>
          <w:highlight w:val="none"/>
        </w:rPr>
        <w:t>2、</w:t>
      </w:r>
      <w:r>
        <w:rPr>
          <w:rFonts w:hint="eastAsia" w:ascii="仿宋" w:hAnsi="仿宋" w:eastAsia="仿宋" w:cs="仿宋_GB2312"/>
          <w:color w:val="000000"/>
          <w:spacing w:val="-8"/>
          <w:kern w:val="0"/>
          <w:sz w:val="32"/>
          <w:szCs w:val="32"/>
          <w:highlight w:val="none"/>
        </w:rPr>
        <w:t>负责本专门委员会会议及活动的组织协调和日常事务工作。</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3、负责政协提案征集的具体工作。对提案进行分类、登记、初审，提出处理意见，供本专门委员会审查参考，并做好未予立案的后续工作。 </w:t>
      </w:r>
    </w:p>
    <w:p>
      <w:pPr>
        <w:overflowPunct w:val="0"/>
        <w:spacing w:line="600" w:lineRule="exact"/>
        <w:ind w:firstLine="640" w:firstLineChars="200"/>
        <w:rPr>
          <w:rFonts w:ascii="仿宋" w:hAnsi="仿宋" w:eastAsia="仿宋" w:cs="仿宋_GB2312"/>
          <w:color w:val="000000"/>
          <w:spacing w:val="-4"/>
          <w:kern w:val="0"/>
          <w:sz w:val="32"/>
          <w:szCs w:val="32"/>
          <w:highlight w:val="none"/>
        </w:rPr>
      </w:pPr>
      <w:r>
        <w:rPr>
          <w:rFonts w:hint="eastAsia" w:ascii="仿宋" w:hAnsi="仿宋" w:eastAsia="仿宋" w:cs="仿宋_GB2312"/>
          <w:color w:val="000000"/>
          <w:kern w:val="0"/>
          <w:sz w:val="32"/>
          <w:szCs w:val="32"/>
          <w:highlight w:val="none"/>
        </w:rPr>
        <w:t>4、</w:t>
      </w:r>
      <w:r>
        <w:rPr>
          <w:rFonts w:hint="eastAsia" w:ascii="仿宋" w:hAnsi="仿宋" w:eastAsia="仿宋" w:cs="仿宋_GB2312"/>
          <w:color w:val="000000"/>
          <w:spacing w:val="-4"/>
          <w:kern w:val="0"/>
          <w:sz w:val="32"/>
          <w:szCs w:val="32"/>
          <w:highlight w:val="none"/>
        </w:rPr>
        <w:t>负责与政协委员、民主党派、人民团体、政协各专门委员会的联络。负责提案催办。负责本委员会的视察、调查、参观、座谈、研讨、协商及提案办理工作经验交流的组织服务工作。</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5、负责征求政协委员、民主党派、有关人民团体和专门委员会对提案工作意见的具体工作，并做好提案者反馈意见的处理工作。</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6、负责优秀提案的评选和优秀提案、先进承办单位表彰的具体组织服务工作。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7、负责提交政协驻马店市委员会全体会议和常务委员会议审议的提案工作情况报告和相应决议草案、提案审查情况的报告以及本委员会各类文稿的起草工作。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8、负责本专门委员会与上级政协、市直有关部门和县、区政协对口委员会的工作联系。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9、负责有关提案工作会议、活动的大事记、信息、文件、资料的管理，对提案及其复文和本委员会的文字材料进行立卷归档。</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10、完成领导交办的其他工作。 </w:t>
      </w:r>
    </w:p>
    <w:p>
      <w:pPr>
        <w:overflowPunct w:val="0"/>
        <w:spacing w:line="600" w:lineRule="exact"/>
        <w:ind w:firstLine="481" w:firstLineChars="150"/>
        <w:rPr>
          <w:rFonts w:ascii="仿宋" w:hAnsi="仿宋" w:eastAsia="仿宋"/>
          <w:sz w:val="32"/>
          <w:szCs w:val="32"/>
          <w:highlight w:val="none"/>
        </w:rPr>
      </w:pPr>
      <w:r>
        <w:rPr>
          <w:rFonts w:hint="eastAsia" w:ascii="仿宋" w:hAnsi="仿宋" w:eastAsia="仿宋" w:cs="楷体_GB2312"/>
          <w:b/>
          <w:color w:val="000000"/>
          <w:kern w:val="0"/>
          <w:sz w:val="32"/>
          <w:szCs w:val="32"/>
          <w:highlight w:val="none"/>
        </w:rPr>
        <w:t xml:space="preserve">（五）农业和农村委员会综合科工作职责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1、负责专门委员会制定、实施工作计划的具体组织与服务工作。</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2、负责专门委员会会议、活动的组织协调和日常工作。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3、联系相关界别委员及代表人士，综合反映专门委员会、委员和相关界别的意见、建议。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4、负责本专门委员会各类文稿的起草及调研成果的转化跟踪工作。</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5、负责本专门委员会与上级政协及市直机关相关部门、县（区）政协相关专委会的工作联系。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6、负责收集、整理、报送本委员会和本界别委员履行职能的调研报告、视察报告、大会发主、建议案、社情民意及本委员会的文书归档工作。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7、完成领导交办的其他工作。 </w:t>
      </w:r>
    </w:p>
    <w:p>
      <w:pPr>
        <w:overflowPunct w:val="0"/>
        <w:spacing w:line="600" w:lineRule="exact"/>
        <w:ind w:firstLine="481" w:firstLineChars="150"/>
        <w:rPr>
          <w:rFonts w:ascii="仿宋" w:hAnsi="仿宋" w:eastAsia="仿宋"/>
          <w:sz w:val="32"/>
          <w:szCs w:val="32"/>
          <w:highlight w:val="none"/>
        </w:rPr>
      </w:pPr>
      <w:r>
        <w:rPr>
          <w:rFonts w:hint="eastAsia" w:ascii="仿宋" w:hAnsi="仿宋" w:eastAsia="仿宋" w:cs="楷体_GB2312"/>
          <w:b/>
          <w:color w:val="000000"/>
          <w:kern w:val="0"/>
          <w:sz w:val="32"/>
          <w:szCs w:val="32"/>
          <w:highlight w:val="none"/>
        </w:rPr>
        <w:t xml:space="preserve">（六）教科卫体委员会综合科职责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1、负责本委员会制定、实施工作计划的具体组织服务工作。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2、负责本委员会会议、活动的组织协调和日常工作。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3、联系本委员会委员及代表人士，综合反映专门委员会、委员和相关界别的意见、建议。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4、负责本委员会各类文稿的起草以及调研成果的转化跟踪工作。</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5、负责本专门委员会与上级政协、市直机关相关部门、县（区）政协机关专委会的工作联系。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6、负责收集、整理、报送本委员会和委员履行职能的调研报告、视察报告、大会发言、建议案、社情民意及本委员会的文书归档工作。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7、完成领导交办的其他工作。 </w:t>
      </w:r>
    </w:p>
    <w:p>
      <w:pPr>
        <w:overflowPunct w:val="0"/>
        <w:spacing w:line="600" w:lineRule="exact"/>
        <w:ind w:firstLine="481" w:firstLineChars="150"/>
        <w:rPr>
          <w:rFonts w:ascii="仿宋" w:hAnsi="仿宋" w:eastAsia="仿宋"/>
          <w:sz w:val="32"/>
          <w:szCs w:val="32"/>
          <w:highlight w:val="none"/>
        </w:rPr>
      </w:pPr>
      <w:r>
        <w:rPr>
          <w:rFonts w:hint="eastAsia" w:ascii="仿宋" w:hAnsi="仿宋" w:eastAsia="仿宋" w:cs="楷体_GB2312"/>
          <w:b/>
          <w:color w:val="000000"/>
          <w:kern w:val="0"/>
          <w:sz w:val="32"/>
          <w:szCs w:val="32"/>
          <w:highlight w:val="none"/>
        </w:rPr>
        <w:t xml:space="preserve">（七）社会与法制委员会综合科工作职责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1、负责本专门委员会制定、实施工作计划的具体组织与服务工作。</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2、负责本专门委员会会议、活动的组织协调和日常工作。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3、联系相关界别委员及代表人士，综合反映专门委员会、委员和相关界别的意见、建议。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4、负责本专门委员会各类文稿的起草及调研成果的转化跟踪工作。</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5、负责本专门委员会与上级政协、市直机关相关部门、县（区）政协相关专委会的工作联系。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6、负责收集、整理、取送本委员会和本界别委员履行职能的调研报告、视察报告、大会发言、建议案、社情民意及委员会的文书归档工作。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7、完成领导交办的其他工作。 </w:t>
      </w:r>
    </w:p>
    <w:p>
      <w:pPr>
        <w:overflowPunct w:val="0"/>
        <w:spacing w:line="600" w:lineRule="exact"/>
        <w:ind w:firstLine="481" w:firstLineChars="150"/>
        <w:rPr>
          <w:rFonts w:ascii="仿宋" w:hAnsi="仿宋" w:eastAsia="仿宋"/>
          <w:sz w:val="32"/>
          <w:szCs w:val="32"/>
          <w:highlight w:val="none"/>
        </w:rPr>
      </w:pPr>
      <w:r>
        <w:rPr>
          <w:rFonts w:hint="eastAsia" w:ascii="仿宋" w:hAnsi="仿宋" w:eastAsia="仿宋" w:cs="楷体_GB2312"/>
          <w:b/>
          <w:color w:val="000000"/>
          <w:kern w:val="0"/>
          <w:sz w:val="32"/>
          <w:szCs w:val="32"/>
          <w:highlight w:val="none"/>
        </w:rPr>
        <w:t xml:space="preserve">（八）经济委员会综合科工作职责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1、负责专门委员会制定、实施工作计划的具体组织与服务工作。</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2、负责专门委员会会议、活动的组织协调和日常工作。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3、联系相关界别委员及代表人士，综合反映专门委员会、委员和相关界别的意见、建议。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4、负责本专门委员会各类文稿的起草及调研成果的转化跟踪工作。</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5、负责本专门委员会与上级政协及市直机关相关部门、县（区）政协相关专委会的工作联系。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6、负责收集、整理、报送本委员会和本界别委员履行职能的调研报告、视察报告、大会发主、建议案、社情民意及本委员会的文书归档工作。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7、完成领导交办的其他工作。 </w:t>
      </w:r>
    </w:p>
    <w:p>
      <w:pPr>
        <w:overflowPunct w:val="0"/>
        <w:spacing w:line="600" w:lineRule="exact"/>
        <w:ind w:firstLine="481" w:firstLineChars="150"/>
        <w:rPr>
          <w:rFonts w:ascii="仿宋" w:hAnsi="仿宋" w:eastAsia="仿宋"/>
          <w:sz w:val="32"/>
          <w:szCs w:val="32"/>
          <w:highlight w:val="none"/>
        </w:rPr>
      </w:pPr>
      <w:r>
        <w:rPr>
          <w:rFonts w:hint="eastAsia" w:ascii="仿宋" w:hAnsi="仿宋" w:eastAsia="仿宋" w:cs="楷体_GB2312"/>
          <w:b/>
          <w:color w:val="000000"/>
          <w:kern w:val="0"/>
          <w:sz w:val="32"/>
          <w:szCs w:val="32"/>
          <w:highlight w:val="none"/>
        </w:rPr>
        <w:t xml:space="preserve">（九）文化和文史委员会综合科工作职责 </w:t>
      </w:r>
    </w:p>
    <w:p>
      <w:pPr>
        <w:overflowPunct w:val="0"/>
        <w:spacing w:line="600" w:lineRule="exact"/>
        <w:ind w:firstLine="640" w:firstLineChars="200"/>
        <w:rPr>
          <w:rFonts w:ascii="仿宋" w:hAnsi="仿宋" w:eastAsia="仿宋" w:cs="仿宋_GB2312"/>
          <w:color w:val="000000"/>
          <w:spacing w:val="-6"/>
          <w:kern w:val="0"/>
          <w:sz w:val="32"/>
          <w:szCs w:val="32"/>
          <w:highlight w:val="none"/>
        </w:rPr>
      </w:pPr>
      <w:r>
        <w:rPr>
          <w:rFonts w:hint="eastAsia" w:ascii="仿宋" w:hAnsi="仿宋" w:eastAsia="仿宋" w:cs="仿宋_GB2312"/>
          <w:color w:val="000000"/>
          <w:kern w:val="0"/>
          <w:sz w:val="32"/>
          <w:szCs w:val="32"/>
          <w:highlight w:val="none"/>
        </w:rPr>
        <w:t>1、组织和推动委员学习马列主义、毛泽东思想、邓小平理</w:t>
      </w:r>
      <w:r>
        <w:rPr>
          <w:rFonts w:hint="eastAsia" w:ascii="仿宋" w:hAnsi="仿宋" w:eastAsia="仿宋" w:cs="仿宋_GB2312"/>
          <w:color w:val="000000"/>
          <w:spacing w:val="-6"/>
          <w:kern w:val="0"/>
          <w:sz w:val="32"/>
          <w:szCs w:val="32"/>
          <w:highlight w:val="none"/>
        </w:rPr>
        <w:t>论和“三个代表”重要思想，深入贯彻落实科学发展观。学习时事政治，学习和交流业务和科学技术知识，不断增强委员素质。</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2、认真搞好文史资料征集工作。制定文史资料工作计划，指导县区政协及市直有关单位积极撰写文史资料，编辑、出版《驻马店文史资料》。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3、完成省政协分配的文史资料协作项目，参与兄弟市政协文史资料的协作工作。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4、搞好本委员组政协委员的调研、视察工作。积极参与并完成市政协分配的专题调研任务。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5、加强同省政协、兄弟市政协、各县区政协学习与文史资料委员会的交流与联系，推动学习与文史资料工作再上新台阶。 </w:t>
      </w:r>
    </w:p>
    <w:p>
      <w:pPr>
        <w:overflowPunct w:val="0"/>
        <w:spacing w:line="600" w:lineRule="exact"/>
        <w:ind w:firstLine="481" w:firstLineChars="150"/>
        <w:rPr>
          <w:rFonts w:ascii="仿宋" w:hAnsi="仿宋" w:eastAsia="仿宋"/>
          <w:sz w:val="32"/>
          <w:szCs w:val="32"/>
          <w:highlight w:val="none"/>
        </w:rPr>
      </w:pPr>
      <w:r>
        <w:rPr>
          <w:rFonts w:hint="eastAsia" w:ascii="仿宋" w:hAnsi="仿宋" w:eastAsia="仿宋" w:cs="楷体_GB2312"/>
          <w:b/>
          <w:color w:val="000000"/>
          <w:kern w:val="0"/>
          <w:sz w:val="32"/>
          <w:szCs w:val="32"/>
          <w:highlight w:val="none"/>
        </w:rPr>
        <w:t xml:space="preserve">（十）台港澳侨民族宗教委员会综合科工作职责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1、负责本委员会制定、实施工作计划的具体组织服务工作。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2、负责本委员会会议活动的组织协调和日常工作。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3、联系台港澳侨民族宗教界别委员及代表人士，综合反映本委员会、委员与台港澳侨民族宗教有关界别意见、建议。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4、负责本委员会各类文稿的起草以及调研成果的转化跟踪工作。</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5、负责落实市政协及本委员会提出的各项工作任务。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6、负责收集整理、报送本委员会和届别委员履行职能的调研报告、视察报告、大会发言、建议案、社情民意及本委员会的文书归档工作。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7、完成领导交办的其他工作。 </w:t>
      </w:r>
    </w:p>
    <w:p>
      <w:pPr>
        <w:overflowPunct w:val="0"/>
        <w:spacing w:line="600" w:lineRule="exact"/>
        <w:ind w:firstLine="481" w:firstLineChars="150"/>
        <w:rPr>
          <w:rFonts w:ascii="仿宋" w:hAnsi="仿宋" w:eastAsia="仿宋"/>
          <w:sz w:val="32"/>
          <w:szCs w:val="32"/>
          <w:highlight w:val="none"/>
        </w:rPr>
      </w:pPr>
      <w:r>
        <w:rPr>
          <w:rFonts w:hint="eastAsia" w:ascii="仿宋" w:hAnsi="仿宋" w:eastAsia="仿宋" w:cs="楷体_GB2312"/>
          <w:b/>
          <w:color w:val="000000"/>
          <w:kern w:val="0"/>
          <w:sz w:val="32"/>
          <w:szCs w:val="32"/>
          <w:highlight w:val="none"/>
        </w:rPr>
        <w:t xml:space="preserve">（十一）人口资源环境委员会综合科工作职责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1、学习、宣传党和国家的路线、方针、政策。贯彻落实有关政协工作方面的路线、方针、政策，促进政协工作全面提高。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2、负责与县、区政协的联系与沟通，在此基础上，指导县区政协工作。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3、联系驻县区市政协委员、沟通思想、建立关系，牢牢把握团结民主两大主题，广泛团结各民主党派、人民团体和各族各界人士，反映社情民意，做好统一战线工作。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4、组织驻县区市政协委员视察、考察、调研等项活动，为委员知情明政出力、履行职责创造条件，听取并反映他们的意见和建议。 </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5、组织县区政协开展联谊活动，总结交流县、区政协工作经验，调查了解情况，研究带共性的问题，提出意见和建议。 </w:t>
      </w:r>
    </w:p>
    <w:p>
      <w:pPr>
        <w:overflowPunct w:val="0"/>
        <w:spacing w:line="600" w:lineRule="exact"/>
        <w:ind w:firstLine="640" w:firstLineChars="200"/>
        <w:rPr>
          <w:rFonts w:ascii="仿宋" w:hAnsi="仿宋" w:eastAsia="仿宋"/>
          <w:spacing w:val="-6"/>
          <w:sz w:val="32"/>
          <w:szCs w:val="32"/>
          <w:highlight w:val="none"/>
        </w:rPr>
      </w:pPr>
      <w:r>
        <w:rPr>
          <w:rFonts w:hint="eastAsia" w:ascii="仿宋" w:hAnsi="仿宋" w:eastAsia="仿宋" w:cs="仿宋_GB2312"/>
          <w:color w:val="000000"/>
          <w:kern w:val="0"/>
          <w:sz w:val="32"/>
          <w:szCs w:val="32"/>
          <w:highlight w:val="none"/>
        </w:rPr>
        <w:t>6、</w:t>
      </w:r>
      <w:r>
        <w:rPr>
          <w:rFonts w:hint="eastAsia" w:ascii="仿宋" w:hAnsi="仿宋" w:eastAsia="仿宋" w:cs="仿宋_GB2312"/>
          <w:color w:val="000000"/>
          <w:spacing w:val="-6"/>
          <w:kern w:val="0"/>
          <w:sz w:val="32"/>
          <w:szCs w:val="32"/>
          <w:highlight w:val="none"/>
        </w:rPr>
        <w:t>帮助协调县区政协与同级党委、人大常委会、政府的关系。</w:t>
      </w:r>
    </w:p>
    <w:p>
      <w:pPr>
        <w:overflowPunct w:val="0"/>
        <w:spacing w:line="600" w:lineRule="exact"/>
        <w:ind w:firstLine="640" w:firstLineChars="200"/>
        <w:rPr>
          <w:rFonts w:ascii="仿宋" w:hAnsi="仿宋" w:eastAsia="仿宋"/>
          <w:sz w:val="32"/>
          <w:szCs w:val="32"/>
          <w:highlight w:val="none"/>
        </w:rPr>
      </w:pPr>
      <w:r>
        <w:rPr>
          <w:rFonts w:hint="eastAsia" w:ascii="仿宋" w:hAnsi="仿宋" w:eastAsia="仿宋" w:cs="仿宋_GB2312"/>
          <w:color w:val="000000"/>
          <w:kern w:val="0"/>
          <w:sz w:val="32"/>
          <w:szCs w:val="32"/>
          <w:highlight w:val="none"/>
        </w:rPr>
        <w:t xml:space="preserve">7、完成主席会议和常务委员会交办的其它工作。 </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r>
        <w:rPr>
          <w:rFonts w:hint="eastAsia" w:ascii="黑体" w:hAnsi="仿宋" w:eastAsia="黑体"/>
          <w:color w:val="000000"/>
          <w:sz w:val="32"/>
          <w:szCs w:val="32"/>
          <w:highlight w:val="none"/>
        </w:rPr>
        <w:t>二、驻马店市政协机构设置及预算单位构成</w:t>
      </w:r>
    </w:p>
    <w:p>
      <w:pPr>
        <w:pStyle w:val="4"/>
        <w:widowControl w:val="0"/>
        <w:shd w:val="clear" w:color="auto" w:fill="FFFFFF"/>
        <w:spacing w:before="0" w:beforeAutospacing="0" w:after="0" w:afterAutospacing="0" w:line="600" w:lineRule="exact"/>
        <w:ind w:firstLine="467" w:firstLineChars="146"/>
        <w:jc w:val="both"/>
        <w:rPr>
          <w:rFonts w:ascii="仿宋" w:hAnsi="仿宋" w:eastAsia="仿宋"/>
          <w:b/>
          <w:bCs/>
          <w:color w:val="000000"/>
          <w:sz w:val="32"/>
          <w:szCs w:val="32"/>
          <w:highlight w:val="none"/>
        </w:rPr>
      </w:pPr>
      <w:r>
        <w:rPr>
          <w:rFonts w:hint="eastAsia" w:ascii="仿宋" w:hAnsi="仿宋" w:eastAsia="仿宋"/>
          <w:color w:val="000000"/>
          <w:sz w:val="32"/>
          <w:szCs w:val="32"/>
          <w:highlight w:val="none"/>
        </w:rPr>
        <w:t>驻马店市政协设中国共产党、民主党派、无党派人士、工商联及新社会阶层、工青妇、台胞台属、侨联、新闻出版、科学技术、教育体育、社会科学、经济、农林、医药卫生、少数民族、宗教、和特邀等18个界别；委员规模490人，常委会组成人员98人，其中设主席1人、副主席9人、秘书长1人。内设机构有办公室、调研室和委员联络、提案、农村农业、教科卫体、社会和法制、经济、文化和文史、台港澳侨和民族宗教、人口资源环境委员会等9个专门委员会。</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驻马店市政协部门预算包括机关本级预算和所属单位预算</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1、驻马店市政协办公室机关本级；机关下设办公室、调研室和委员联络、提案、农村农业、教科卫体、社会和法制、经济、文化和文史、台港澳侨和民族宗教、人口资源环境委员会等9个专门委员会。</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2、驻马店市政协机关后勤服务中心；</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3、驻马店市政协文史资料室。</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center"/>
        <w:rPr>
          <w:rFonts w:eastAsia="黑体"/>
          <w:color w:val="000000"/>
          <w:sz w:val="32"/>
          <w:szCs w:val="32"/>
          <w:highlight w:val="none"/>
        </w:rPr>
      </w:pPr>
      <w:r>
        <w:rPr>
          <w:rFonts w:hint="eastAsia" w:ascii="黑体" w:hAnsi="仿宋" w:eastAsia="黑体"/>
          <w:color w:val="000000"/>
          <w:sz w:val="32"/>
          <w:szCs w:val="32"/>
          <w:highlight w:val="none"/>
        </w:rPr>
        <w:t>第二部分</w:t>
      </w:r>
    </w:p>
    <w:p>
      <w:pPr>
        <w:pStyle w:val="4"/>
        <w:widowControl w:val="0"/>
        <w:shd w:val="clear" w:color="auto" w:fill="FFFFFF"/>
        <w:spacing w:before="0" w:beforeAutospacing="0" w:after="0" w:afterAutospacing="0" w:line="600" w:lineRule="exact"/>
        <w:ind w:firstLine="640" w:firstLineChars="200"/>
        <w:jc w:val="center"/>
        <w:rPr>
          <w:rFonts w:ascii="黑体" w:hAnsi="仿宋" w:eastAsia="黑体"/>
          <w:color w:val="000000"/>
          <w:sz w:val="32"/>
          <w:szCs w:val="32"/>
          <w:highlight w:val="none"/>
        </w:rPr>
      </w:pPr>
      <w:r>
        <w:rPr>
          <w:rFonts w:hint="eastAsia" w:ascii="黑体" w:hAnsi="仿宋" w:eastAsia="黑体"/>
          <w:color w:val="000000"/>
          <w:sz w:val="32"/>
          <w:szCs w:val="32"/>
          <w:highlight w:val="none"/>
        </w:rPr>
        <w:t>驻马店市政协2022年度部门预算情况说明</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r>
        <w:rPr>
          <w:rFonts w:hint="eastAsia" w:ascii="黑体" w:hAnsi="仿宋" w:eastAsia="黑体"/>
          <w:color w:val="000000"/>
          <w:sz w:val="32"/>
          <w:szCs w:val="32"/>
          <w:highlight w:val="none"/>
        </w:rPr>
        <w:t>一、支出预算总体情况说明</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驻马店市政协2022年收入总计1757.6万元，支出总计1757.6万元，与2021年相比，收、支总计各增加16.63万元，上升0.96%。主要原因：1.机关增加人员；2.单位正常职务晋升、晋级晋档、调标所致工资与各类奖金、保险有所提高；3.项目经费比2021年有所增加。</w:t>
      </w: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r>
        <w:rPr>
          <w:rFonts w:hint="eastAsia" w:ascii="黑体" w:hAnsi="仿宋" w:eastAsia="黑体"/>
          <w:color w:val="000000"/>
          <w:sz w:val="32"/>
          <w:szCs w:val="32"/>
          <w:highlight w:val="none"/>
        </w:rPr>
        <w:t>二、收入预算总体情况说明</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驻马店市政协2022年收入合计1757.6万元，其中：一般公共预算收入1757.6万元。</w:t>
      </w: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r>
        <w:rPr>
          <w:rFonts w:hint="eastAsia" w:ascii="黑体" w:hAnsi="仿宋" w:eastAsia="黑体"/>
          <w:color w:val="000000"/>
          <w:sz w:val="32"/>
          <w:szCs w:val="32"/>
          <w:highlight w:val="none"/>
        </w:rPr>
        <w:t>三、支出预算总体情况说明</w:t>
      </w:r>
    </w:p>
    <w:p>
      <w:pPr>
        <w:pStyle w:val="4"/>
        <w:widowControl w:val="0"/>
        <w:shd w:val="clear" w:color="auto" w:fill="FFFFFF"/>
        <w:spacing w:before="0" w:beforeAutospacing="0" w:after="0" w:afterAutospacing="0" w:line="600" w:lineRule="exact"/>
        <w:ind w:firstLine="640" w:firstLineChars="200"/>
        <w:jc w:val="both"/>
        <w:rPr>
          <w:rFonts w:eastAsia="仿宋"/>
          <w:color w:val="000000"/>
          <w:sz w:val="32"/>
          <w:szCs w:val="32"/>
          <w:highlight w:val="none"/>
        </w:rPr>
      </w:pPr>
      <w:r>
        <w:rPr>
          <w:rFonts w:hint="eastAsia" w:ascii="仿宋" w:hAnsi="仿宋" w:eastAsia="仿宋"/>
          <w:color w:val="000000"/>
          <w:sz w:val="32"/>
          <w:szCs w:val="32"/>
          <w:highlight w:val="none"/>
        </w:rPr>
        <w:t>驻马店市政协2022年支出合计1757.6万元，其中：基本支出1227.8万元，占69.86%；项目支出529.7万元，占30.14%。</w:t>
      </w:r>
      <w:r>
        <w:rPr>
          <w:rFonts w:hint="eastAsia" w:eastAsia="仿宋"/>
          <w:color w:val="000000"/>
          <w:sz w:val="32"/>
          <w:szCs w:val="32"/>
          <w:highlight w:val="none"/>
        </w:rPr>
        <w:t> </w:t>
      </w: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r>
        <w:rPr>
          <w:rFonts w:hint="eastAsia" w:ascii="黑体" w:hAnsi="仿宋" w:eastAsia="黑体"/>
          <w:color w:val="000000"/>
          <w:sz w:val="32"/>
          <w:szCs w:val="32"/>
          <w:highlight w:val="none"/>
        </w:rPr>
        <w:t>四、财政拨款收入支出预算总体说明</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驻马店市政协2022年一般公共预算收支预算1757.6万元。与2021年相比，一般公共预算收支预算增加16.63万元，上升0.96%。主要原因：1.机关增加人员；2.单位人员正常职务晋升、晋级晋档、调标所致工资与各类奖金、保险有所提高；3.项目经费比2021年有所增加。</w:t>
      </w: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r>
        <w:rPr>
          <w:rFonts w:hint="eastAsia" w:ascii="黑体" w:hAnsi="仿宋" w:eastAsia="黑体"/>
          <w:color w:val="000000"/>
          <w:sz w:val="32"/>
          <w:szCs w:val="32"/>
          <w:highlight w:val="none"/>
        </w:rPr>
        <w:t>五、一般公共预算支出预算情况说明</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驻马店市政协2022年一般公共预算支出年初预算为1757.6万元。主要用于以下方面：一般公共服务（类）支出1461万元，占83.12%；社会保障和就业支出175.4万元，占9.98%；卫生健康支出65.6万元，占3.73%；住房保障支55.6万元，占3.16%。</w:t>
      </w: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r>
        <w:rPr>
          <w:rFonts w:hint="eastAsia" w:ascii="黑体" w:hAnsi="仿宋" w:eastAsia="黑体"/>
          <w:color w:val="000000"/>
          <w:sz w:val="32"/>
          <w:szCs w:val="32"/>
          <w:highlight w:val="none"/>
        </w:rPr>
        <w:t>六、一般公共预算基本支出预算情况说明和支出预算经济分类情况说明</w:t>
      </w:r>
    </w:p>
    <w:p>
      <w:pPr>
        <w:rPr>
          <w:rFonts w:ascii="仿宋" w:hAnsi="仿宋" w:eastAsia="仿宋"/>
          <w:sz w:val="32"/>
          <w:szCs w:val="32"/>
          <w:highlight w:val="none"/>
        </w:rPr>
      </w:pPr>
      <w:r>
        <w:rPr>
          <w:rFonts w:hint="eastAsia"/>
          <w:highlight w:val="none"/>
        </w:rPr>
        <w:t xml:space="preserve">       </w:t>
      </w:r>
      <w:r>
        <w:rPr>
          <w:rFonts w:hint="eastAsia" w:ascii="仿宋" w:hAnsi="仿宋" w:eastAsia="仿宋"/>
          <w:sz w:val="32"/>
          <w:szCs w:val="32"/>
          <w:highlight w:val="none"/>
        </w:rPr>
        <w:t>2022年一般公共预算基本支出1227.8万元，其中：人员经费1083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144.8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r>
        <w:rPr>
          <w:rFonts w:hint="eastAsia" w:ascii="黑体" w:hAnsi="仿宋" w:eastAsia="黑体"/>
          <w:color w:val="000000"/>
          <w:sz w:val="32"/>
          <w:szCs w:val="32"/>
          <w:highlight w:val="none"/>
        </w:rPr>
        <w:t>七、政府性基金预算支出决算情况说明</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本单位2022年无使用政府性基金预算拨款安排的支出。</w:t>
      </w: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r>
        <w:rPr>
          <w:rFonts w:hint="eastAsia" w:ascii="黑体" w:hAnsi="仿宋" w:eastAsia="黑体"/>
          <w:color w:val="000000"/>
          <w:sz w:val="32"/>
          <w:szCs w:val="32"/>
          <w:highlight w:val="none"/>
        </w:rPr>
        <w:t>八、“三公”经费支出预算情况说明</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我单位2022年“三公”经费预算为42万元。2022年“三公”经费支出预算数比2021年减少70万元, 下降了</w:t>
      </w:r>
      <w:r>
        <w:rPr>
          <w:rFonts w:hint="eastAsia" w:ascii="仿宋" w:hAnsi="仿宋" w:eastAsia="仿宋"/>
          <w:color w:val="000000"/>
          <w:sz w:val="32"/>
          <w:szCs w:val="32"/>
          <w:highlight w:val="none"/>
        </w:rPr>
        <w:t>62.5 %。主要原因：认真贯彻中央八项规定，响应政府开展过紧日子的相关要求，厉行节约，严格控制、压缩三公经费支出规模，有效降低行政运行成本。</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具体情况如下：</w:t>
      </w:r>
    </w:p>
    <w:p>
      <w:pPr>
        <w:pStyle w:val="4"/>
        <w:widowControl w:val="0"/>
        <w:shd w:val="clear" w:color="auto" w:fill="FFFFFF"/>
        <w:spacing w:before="0" w:beforeAutospacing="0" w:after="0" w:afterAutospacing="0" w:line="600" w:lineRule="exact"/>
        <w:ind w:firstLine="642" w:firstLineChars="200"/>
        <w:jc w:val="both"/>
        <w:rPr>
          <w:rFonts w:ascii="仿宋" w:hAnsi="仿宋" w:eastAsia="仿宋"/>
          <w:color w:val="000000"/>
          <w:sz w:val="32"/>
          <w:szCs w:val="32"/>
          <w:highlight w:val="none"/>
        </w:rPr>
      </w:pPr>
      <w:r>
        <w:rPr>
          <w:rFonts w:hint="eastAsia" w:ascii="仿宋" w:hAnsi="仿宋" w:eastAsia="仿宋"/>
          <w:b/>
          <w:color w:val="000000"/>
          <w:sz w:val="32"/>
          <w:szCs w:val="32"/>
          <w:highlight w:val="none"/>
        </w:rPr>
        <w:t>（一）因公出国（境）费0万元，</w:t>
      </w:r>
      <w:r>
        <w:rPr>
          <w:rFonts w:hint="eastAsia" w:ascii="仿宋" w:hAnsi="仿宋" w:eastAsia="仿宋"/>
          <w:color w:val="000000"/>
          <w:sz w:val="32"/>
          <w:szCs w:val="32"/>
          <w:highlight w:val="none"/>
        </w:rPr>
        <w:t>主要用于单位工作人员公务出国(境)的住宿费、旅费、伙食补助费、杂费、培训费等支出。预算数比2021年减少8万元, 下降</w:t>
      </w:r>
      <w:r>
        <w:rPr>
          <w:rFonts w:hint="eastAsia" w:ascii="仿宋" w:hAnsi="仿宋" w:eastAsia="仿宋"/>
          <w:color w:val="000000"/>
          <w:sz w:val="32"/>
          <w:szCs w:val="32"/>
          <w:highlight w:val="none"/>
        </w:rPr>
        <w:t>了100%</w:t>
      </w:r>
      <w:r>
        <w:rPr>
          <w:rFonts w:hint="eastAsia" w:ascii="仿宋" w:hAnsi="仿宋" w:eastAsia="仿宋"/>
          <w:color w:val="000000"/>
          <w:sz w:val="32"/>
          <w:szCs w:val="32"/>
          <w:highlight w:val="none"/>
        </w:rPr>
        <w:t>。主要原因：我单位2022年没有安排因公出国（境）费用的收入和支出预算。</w:t>
      </w:r>
    </w:p>
    <w:p>
      <w:pPr>
        <w:pStyle w:val="4"/>
        <w:widowControl w:val="0"/>
        <w:shd w:val="clear" w:color="auto" w:fill="FFFFFF"/>
        <w:spacing w:before="0" w:beforeAutospacing="0" w:after="0" w:afterAutospacing="0" w:line="600" w:lineRule="exact"/>
        <w:ind w:firstLine="642" w:firstLineChars="200"/>
        <w:jc w:val="both"/>
        <w:rPr>
          <w:rFonts w:ascii="仿宋" w:hAnsi="仿宋" w:eastAsia="仿宋"/>
          <w:color w:val="000000"/>
          <w:sz w:val="32"/>
          <w:szCs w:val="32"/>
          <w:highlight w:val="none"/>
        </w:rPr>
      </w:pPr>
      <w:r>
        <w:rPr>
          <w:rFonts w:hint="eastAsia" w:ascii="仿宋" w:hAnsi="仿宋" w:eastAsia="仿宋"/>
          <w:b/>
          <w:color w:val="000000"/>
          <w:sz w:val="32"/>
          <w:szCs w:val="32"/>
          <w:highlight w:val="none"/>
        </w:rPr>
        <w:t>（二）公务用车购置及运行费42万元，</w:t>
      </w:r>
      <w:r>
        <w:rPr>
          <w:rFonts w:hint="eastAsia" w:ascii="仿宋" w:hAnsi="仿宋" w:eastAsia="仿宋"/>
          <w:color w:val="000000"/>
          <w:sz w:val="32"/>
          <w:szCs w:val="32"/>
          <w:highlight w:val="none"/>
        </w:rPr>
        <w:t>主要用于开展工作所需公务用车的燃料费、维修费、过路过桥费、保险费、安全奖励费用等支出。</w:t>
      </w:r>
      <w:r>
        <w:rPr>
          <w:rFonts w:hint="eastAsia" w:ascii="仿宋" w:hAnsi="仿宋" w:eastAsia="仿宋"/>
          <w:sz w:val="32"/>
          <w:szCs w:val="32"/>
          <w:highlight w:val="none"/>
        </w:rPr>
        <w:t>其中公务用车购置费预算0万元，</w:t>
      </w:r>
      <w:r>
        <w:rPr>
          <w:rFonts w:hint="eastAsia" w:ascii="仿宋" w:hAnsi="仿宋" w:eastAsia="仿宋" w:cs="Courier New"/>
          <w:sz w:val="32"/>
          <w:szCs w:val="32"/>
          <w:highlight w:val="none"/>
        </w:rPr>
        <w:t>与 2021年相比没有变化</w:t>
      </w:r>
      <w:r>
        <w:rPr>
          <w:rFonts w:hint="eastAsia" w:ascii="仿宋" w:hAnsi="仿宋" w:eastAsia="仿宋"/>
          <w:sz w:val="32"/>
          <w:szCs w:val="32"/>
          <w:highlight w:val="none"/>
        </w:rPr>
        <w:t>，主要原因是按照公务用车管理规定，本年我单位没有购置公务用车计划。</w:t>
      </w:r>
      <w:r>
        <w:rPr>
          <w:rFonts w:hint="eastAsia" w:ascii="仿宋" w:hAnsi="仿宋" w:eastAsia="仿宋"/>
          <w:color w:val="000000"/>
          <w:sz w:val="32"/>
          <w:szCs w:val="32"/>
          <w:highlight w:val="none"/>
        </w:rPr>
        <w:t>公务用车运行维护费42万元，比2021年减少70万元，下降62.5%，主要原因：认真贯彻中央八项规定，响应政府开展过紧日子的相关要求，厉行节约，严格控制、压缩三公经费支出规模，有效降低行政运行成本。</w:t>
      </w:r>
    </w:p>
    <w:p>
      <w:pPr>
        <w:pStyle w:val="4"/>
        <w:widowControl w:val="0"/>
        <w:shd w:val="clear" w:color="auto" w:fill="FFFFFF"/>
        <w:spacing w:before="0" w:beforeAutospacing="0" w:after="0" w:afterAutospacing="0" w:line="600" w:lineRule="exact"/>
        <w:ind w:firstLine="642" w:firstLineChars="200"/>
        <w:jc w:val="both"/>
        <w:rPr>
          <w:rFonts w:ascii="仿宋" w:hAnsi="仿宋" w:eastAsia="仿宋"/>
          <w:color w:val="000000"/>
          <w:sz w:val="32"/>
          <w:szCs w:val="32"/>
          <w:highlight w:val="none"/>
        </w:rPr>
      </w:pPr>
      <w:r>
        <w:rPr>
          <w:rFonts w:hint="eastAsia" w:ascii="仿宋" w:hAnsi="仿宋" w:eastAsia="仿宋"/>
          <w:b/>
          <w:color w:val="000000"/>
          <w:sz w:val="32"/>
          <w:szCs w:val="32"/>
          <w:highlight w:val="none"/>
        </w:rPr>
        <w:t>（三）公务接待费0万元，</w:t>
      </w:r>
      <w:r>
        <w:rPr>
          <w:rFonts w:hint="eastAsia" w:ascii="仿宋" w:hAnsi="仿宋" w:eastAsia="仿宋"/>
          <w:color w:val="000000"/>
          <w:sz w:val="32"/>
          <w:szCs w:val="32"/>
          <w:highlight w:val="none"/>
        </w:rPr>
        <w:t>主要用于按规定开支的各类公务接待支出。预算数比2021年减少4万元，下降100%。主要原因：认真贯彻中央八项规定，响应政府开展过紧日子的相关要求，厉行节约，严格控制、压缩三公经费支出规模，有效降低行政运行成本。</w:t>
      </w:r>
    </w:p>
    <w:p>
      <w:pPr>
        <w:pStyle w:val="4"/>
        <w:widowControl w:val="0"/>
        <w:shd w:val="clear" w:color="auto" w:fill="FFFFFF"/>
        <w:spacing w:before="0" w:beforeAutospacing="0" w:after="0" w:afterAutospacing="0" w:line="600" w:lineRule="exact"/>
        <w:ind w:firstLine="640" w:firstLineChars="200"/>
        <w:jc w:val="both"/>
        <w:rPr>
          <w:rFonts w:ascii="黑体" w:hAnsi="仿宋" w:eastAsia="黑体"/>
          <w:color w:val="000000"/>
          <w:sz w:val="32"/>
          <w:szCs w:val="32"/>
          <w:highlight w:val="none"/>
        </w:rPr>
      </w:pPr>
      <w:r>
        <w:rPr>
          <w:rFonts w:hint="eastAsia" w:ascii="黑体" w:hAnsi="仿宋" w:eastAsia="黑体"/>
          <w:color w:val="000000"/>
          <w:sz w:val="32"/>
          <w:szCs w:val="32"/>
          <w:highlight w:val="none"/>
        </w:rPr>
        <w:t>九、其他重要事项的情况说明</w:t>
      </w:r>
    </w:p>
    <w:p>
      <w:pPr>
        <w:pStyle w:val="4"/>
        <w:widowControl w:val="0"/>
        <w:shd w:val="clear" w:color="auto" w:fill="FFFFFF"/>
        <w:spacing w:before="0" w:beforeAutospacing="0" w:after="0" w:afterAutospacing="0" w:line="600" w:lineRule="exact"/>
        <w:ind w:firstLine="642" w:firstLineChars="200"/>
        <w:jc w:val="both"/>
        <w:rPr>
          <w:rFonts w:ascii="楷体_GB2312" w:hAnsi="仿宋" w:eastAsia="楷体_GB2312"/>
          <w:b/>
          <w:color w:val="000000"/>
          <w:sz w:val="32"/>
          <w:szCs w:val="32"/>
          <w:highlight w:val="none"/>
        </w:rPr>
      </w:pPr>
      <w:r>
        <w:rPr>
          <w:rFonts w:hint="eastAsia" w:ascii="楷体_GB2312" w:hAnsi="仿宋" w:eastAsia="楷体_GB2312"/>
          <w:b/>
          <w:color w:val="000000"/>
          <w:sz w:val="32"/>
          <w:szCs w:val="32"/>
          <w:highlight w:val="none"/>
        </w:rPr>
        <w:t>（一）机关运行经费支出情况</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驻马店市政协2022年运行经费支出预算144.8万元，主要保障机关正常运转及正常履职需要。</w:t>
      </w:r>
    </w:p>
    <w:p>
      <w:pPr>
        <w:pStyle w:val="4"/>
        <w:widowControl w:val="0"/>
        <w:shd w:val="clear" w:color="auto" w:fill="FFFFFF"/>
        <w:spacing w:before="0" w:beforeAutospacing="0" w:after="0" w:afterAutospacing="0" w:line="600" w:lineRule="exact"/>
        <w:ind w:firstLine="642" w:firstLineChars="200"/>
        <w:jc w:val="both"/>
        <w:rPr>
          <w:rFonts w:ascii="楷体_GB2312" w:hAnsi="仿宋" w:eastAsia="楷体_GB2312"/>
          <w:b/>
          <w:color w:val="000000"/>
          <w:sz w:val="32"/>
          <w:szCs w:val="32"/>
          <w:highlight w:val="none"/>
        </w:rPr>
      </w:pPr>
      <w:r>
        <w:rPr>
          <w:rFonts w:hint="eastAsia" w:ascii="楷体_GB2312" w:hAnsi="仿宋" w:eastAsia="楷体_GB2312"/>
          <w:b/>
          <w:color w:val="000000"/>
          <w:sz w:val="32"/>
          <w:szCs w:val="32"/>
          <w:highlight w:val="none"/>
        </w:rPr>
        <w:t>（二）政府采购支出情况</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2022年政府采购预算安排341.9万元，其中：政府采购货物预算99.7万元，政府采购服务预算192.2万元。政府采购工程预算50万元。</w:t>
      </w:r>
    </w:p>
    <w:p>
      <w:pPr>
        <w:pStyle w:val="4"/>
        <w:widowControl w:val="0"/>
        <w:shd w:val="clear" w:color="auto" w:fill="FFFFFF"/>
        <w:spacing w:before="0" w:beforeAutospacing="0" w:after="0" w:afterAutospacing="0" w:line="600" w:lineRule="exact"/>
        <w:ind w:firstLine="642" w:firstLineChars="200"/>
        <w:jc w:val="both"/>
        <w:rPr>
          <w:rFonts w:ascii="楷体_GB2312" w:hAnsi="仿宋" w:eastAsia="楷体_GB2312"/>
          <w:b/>
          <w:color w:val="000000"/>
          <w:sz w:val="32"/>
          <w:szCs w:val="32"/>
          <w:highlight w:val="none"/>
        </w:rPr>
      </w:pPr>
      <w:r>
        <w:rPr>
          <w:rFonts w:hint="eastAsia" w:ascii="楷体_GB2312" w:hAnsi="仿宋" w:eastAsia="楷体_GB2312"/>
          <w:b/>
          <w:color w:val="000000"/>
          <w:sz w:val="32"/>
          <w:szCs w:val="32"/>
          <w:highlight w:val="none"/>
        </w:rPr>
        <w:t>（三）绩效目标设置情况</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我单位2022年预算项目均按要求编制了绩效目标，从项目产出、项目效益、满意度方面设置了绩效指标，综合反映项目预期完成的数量、实效、质量，预期达到的社会经济效益、可持续影响以及服务对象满意度等情况。</w:t>
      </w:r>
    </w:p>
    <w:p>
      <w:pPr>
        <w:pStyle w:val="4"/>
        <w:widowControl w:val="0"/>
        <w:shd w:val="clear" w:color="auto" w:fill="FFFFFF"/>
        <w:spacing w:before="0" w:beforeAutospacing="0" w:after="0" w:afterAutospacing="0" w:line="600" w:lineRule="exact"/>
        <w:ind w:firstLine="642" w:firstLineChars="200"/>
        <w:jc w:val="both"/>
        <w:rPr>
          <w:rFonts w:ascii="楷体_GB2312" w:hAnsi="仿宋" w:eastAsia="楷体_GB2312"/>
          <w:b/>
          <w:color w:val="000000"/>
          <w:sz w:val="32"/>
          <w:szCs w:val="32"/>
          <w:highlight w:val="none"/>
        </w:rPr>
      </w:pPr>
      <w:r>
        <w:rPr>
          <w:rFonts w:hint="eastAsia" w:ascii="楷体_GB2312" w:hAnsi="仿宋" w:eastAsia="楷体_GB2312"/>
          <w:b/>
          <w:color w:val="000000"/>
          <w:sz w:val="32"/>
          <w:szCs w:val="32"/>
          <w:highlight w:val="none"/>
        </w:rPr>
        <w:t>（四）国有资产占用情况</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2021年期末，我单位共有车辆15辆，其中：一般公务用车15辆</w:t>
      </w:r>
      <w:r>
        <w:rPr>
          <w:rFonts w:hint="eastAsia" w:ascii="仿宋" w:hAnsi="仿宋" w:eastAsia="仿宋"/>
          <w:color w:val="000000" w:themeColor="text1"/>
          <w:sz w:val="32"/>
          <w:szCs w:val="32"/>
          <w:highlight w:val="none"/>
        </w:rPr>
        <w:t>、一般执法执勤用车0辆、其他用车0辆，其他用车主要是机要通信用车0辆、应急车辆0辆、老干部用车0辆；单</w:t>
      </w:r>
      <w:r>
        <w:rPr>
          <w:rFonts w:hint="eastAsia" w:ascii="仿宋" w:hAnsi="仿宋" w:eastAsia="仿宋"/>
          <w:color w:val="000000"/>
          <w:sz w:val="32"/>
          <w:szCs w:val="32"/>
          <w:highlight w:val="none"/>
        </w:rPr>
        <w:t>价50万元以上通用设备1台（套），单位价值100万元以上专用设备0台（套）。</w:t>
      </w:r>
    </w:p>
    <w:p>
      <w:pPr>
        <w:pStyle w:val="4"/>
        <w:widowControl w:val="0"/>
        <w:shd w:val="clear" w:color="auto" w:fill="FFFFFF"/>
        <w:spacing w:before="0" w:beforeAutospacing="0" w:after="0" w:afterAutospacing="0" w:line="600" w:lineRule="exact"/>
        <w:ind w:firstLine="642" w:firstLineChars="200"/>
        <w:jc w:val="both"/>
        <w:rPr>
          <w:rFonts w:ascii="楷体_GB2312" w:hAnsi="仿宋" w:eastAsia="楷体_GB2312"/>
          <w:b/>
          <w:color w:val="000000"/>
          <w:sz w:val="32"/>
          <w:szCs w:val="32"/>
          <w:highlight w:val="none"/>
        </w:rPr>
      </w:pPr>
      <w:r>
        <w:rPr>
          <w:rFonts w:hint="eastAsia" w:ascii="楷体_GB2312" w:hAnsi="仿宋" w:eastAsia="楷体_GB2312"/>
          <w:b/>
          <w:color w:val="000000"/>
          <w:sz w:val="32"/>
          <w:szCs w:val="32"/>
          <w:highlight w:val="none"/>
        </w:rPr>
        <w:t>（五）专项转移支付项目情况</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我单位无负责管理的专项转移支付项目及资金。</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center"/>
        <w:rPr>
          <w:rFonts w:eastAsia="黑体"/>
          <w:color w:val="000000"/>
          <w:sz w:val="32"/>
          <w:szCs w:val="32"/>
          <w:highlight w:val="none"/>
        </w:rPr>
      </w:pPr>
      <w:r>
        <w:rPr>
          <w:rFonts w:hint="eastAsia" w:ascii="黑体" w:hAnsi="仿宋" w:eastAsia="黑体"/>
          <w:color w:val="000000"/>
          <w:sz w:val="32"/>
          <w:szCs w:val="32"/>
          <w:highlight w:val="none"/>
        </w:rPr>
        <w:t>第三部分</w:t>
      </w:r>
    </w:p>
    <w:p>
      <w:pPr>
        <w:pStyle w:val="4"/>
        <w:widowControl w:val="0"/>
        <w:shd w:val="clear" w:color="auto" w:fill="FFFFFF"/>
        <w:spacing w:before="0" w:beforeAutospacing="0" w:after="0" w:afterAutospacing="0" w:line="600" w:lineRule="exact"/>
        <w:ind w:firstLine="640" w:firstLineChars="200"/>
        <w:jc w:val="center"/>
        <w:rPr>
          <w:rFonts w:ascii="黑体" w:hAnsi="仿宋" w:eastAsia="黑体"/>
          <w:color w:val="000000"/>
          <w:sz w:val="32"/>
          <w:szCs w:val="32"/>
          <w:highlight w:val="none"/>
        </w:rPr>
      </w:pPr>
      <w:r>
        <w:rPr>
          <w:rFonts w:hint="eastAsia" w:ascii="黑体" w:hAnsi="仿宋" w:eastAsia="黑体"/>
          <w:color w:val="000000"/>
          <w:sz w:val="32"/>
          <w:szCs w:val="32"/>
          <w:highlight w:val="none"/>
        </w:rPr>
        <w:t>名词解释</w:t>
      </w:r>
    </w:p>
    <w:p>
      <w:pPr>
        <w:pStyle w:val="4"/>
        <w:widowControl w:val="0"/>
        <w:shd w:val="clear" w:color="auto" w:fill="FFFFFF"/>
        <w:spacing w:before="0" w:beforeAutospacing="0" w:after="0" w:afterAutospacing="0" w:line="400" w:lineRule="exact"/>
        <w:ind w:firstLine="640" w:firstLineChars="200"/>
        <w:jc w:val="both"/>
        <w:rPr>
          <w:rFonts w:ascii="仿宋" w:hAnsi="仿宋" w:eastAsia="仿宋"/>
          <w:color w:val="000000"/>
          <w:sz w:val="32"/>
          <w:szCs w:val="32"/>
          <w:highlight w:val="none"/>
        </w:rPr>
      </w:pP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黑体" w:hAnsi="仿宋" w:eastAsia="黑体"/>
          <w:color w:val="000000"/>
          <w:sz w:val="32"/>
          <w:szCs w:val="32"/>
          <w:highlight w:val="none"/>
        </w:rPr>
        <w:t>一、财政拨款收入：</w:t>
      </w:r>
      <w:r>
        <w:rPr>
          <w:rFonts w:hint="eastAsia" w:ascii="仿宋" w:hAnsi="仿宋" w:eastAsia="仿宋"/>
          <w:color w:val="000000"/>
          <w:sz w:val="32"/>
          <w:szCs w:val="32"/>
          <w:highlight w:val="none"/>
        </w:rPr>
        <w:t>是指市财政当年拨付的资金。</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黑体" w:hAnsi="仿宋" w:eastAsia="黑体"/>
          <w:color w:val="000000"/>
          <w:sz w:val="32"/>
          <w:szCs w:val="32"/>
          <w:highlight w:val="none"/>
        </w:rPr>
        <w:t>二、事业收入：</w:t>
      </w:r>
      <w:r>
        <w:rPr>
          <w:rFonts w:hint="eastAsia" w:ascii="仿宋" w:hAnsi="仿宋" w:eastAsia="仿宋"/>
          <w:color w:val="000000"/>
          <w:sz w:val="32"/>
          <w:szCs w:val="32"/>
          <w:highlight w:val="none"/>
        </w:rPr>
        <w:t>是指事业单位开展专业活动及辅助活动所取得的收入。</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黑体" w:hAnsi="仿宋" w:eastAsia="黑体"/>
          <w:color w:val="000000"/>
          <w:sz w:val="32"/>
          <w:szCs w:val="32"/>
          <w:highlight w:val="none"/>
        </w:rPr>
        <w:t>三、其他收入：</w:t>
      </w:r>
      <w:r>
        <w:rPr>
          <w:rFonts w:hint="eastAsia" w:ascii="仿宋" w:hAnsi="仿宋" w:eastAsia="仿宋"/>
          <w:color w:val="000000"/>
          <w:sz w:val="32"/>
          <w:szCs w:val="32"/>
          <w:highlight w:val="none"/>
        </w:rPr>
        <w:t>是指部门取得的除“财政拨款”、“事业收入”、“事业单位经营收入”等以外的收入。</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黑体" w:hAnsi="仿宋" w:eastAsia="黑体"/>
          <w:color w:val="000000"/>
          <w:sz w:val="32"/>
          <w:szCs w:val="32"/>
          <w:highlight w:val="none"/>
        </w:rPr>
        <w:t>四、用事业基金弥补收支差额：</w:t>
      </w:r>
      <w:r>
        <w:rPr>
          <w:rFonts w:hint="eastAsia" w:ascii="仿宋" w:hAnsi="仿宋" w:eastAsia="仿宋"/>
          <w:color w:val="000000"/>
          <w:sz w:val="32"/>
          <w:szCs w:val="32"/>
          <w:highlight w:val="none"/>
        </w:rPr>
        <w:t>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黑体" w:hAnsi="仿宋" w:eastAsia="黑体"/>
          <w:color w:val="000000"/>
          <w:sz w:val="32"/>
          <w:szCs w:val="32"/>
          <w:highlight w:val="none"/>
        </w:rPr>
        <w:t>五、基本支出：</w:t>
      </w:r>
      <w:r>
        <w:rPr>
          <w:rFonts w:hint="eastAsia" w:ascii="仿宋" w:hAnsi="仿宋" w:eastAsia="仿宋"/>
          <w:color w:val="000000"/>
          <w:sz w:val="32"/>
          <w:szCs w:val="32"/>
          <w:highlight w:val="none"/>
        </w:rPr>
        <w:t>是指为保障机构正常运转、完成日常工作任务所必需的开支，其内容包括人员经费和日常公用经费两部分。</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黑体" w:hAnsi="仿宋" w:eastAsia="黑体"/>
          <w:color w:val="000000"/>
          <w:sz w:val="32"/>
          <w:szCs w:val="32"/>
          <w:highlight w:val="none"/>
        </w:rPr>
        <w:t>六、项目支出：</w:t>
      </w:r>
      <w:r>
        <w:rPr>
          <w:rFonts w:hint="eastAsia" w:ascii="仿宋" w:hAnsi="仿宋" w:eastAsia="仿宋"/>
          <w:color w:val="000000"/>
          <w:sz w:val="32"/>
          <w:szCs w:val="32"/>
          <w:highlight w:val="none"/>
        </w:rPr>
        <w:t>是指在基本支出之外，为完成特定的行政工作任务或事业发展目标所发生的支出。</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黑体" w:hAnsi="仿宋" w:eastAsia="黑体"/>
          <w:color w:val="000000"/>
          <w:sz w:val="32"/>
          <w:szCs w:val="32"/>
          <w:highlight w:val="none"/>
        </w:rPr>
        <w:t>七、“三公”经费：</w:t>
      </w:r>
      <w:r>
        <w:rPr>
          <w:rFonts w:hint="eastAsia" w:ascii="仿宋" w:hAnsi="仿宋" w:eastAsia="仿宋"/>
          <w:color w:val="000000"/>
          <w:sz w:val="32"/>
          <w:szCs w:val="32"/>
          <w:highlight w:val="none"/>
        </w:rPr>
        <w:t>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4"/>
        <w:widowControl w:val="0"/>
        <w:shd w:val="clear" w:color="auto" w:fill="FFFFFF"/>
        <w:spacing w:before="0" w:beforeAutospacing="0" w:after="0" w:afterAutospacing="0" w:line="600" w:lineRule="exact"/>
        <w:ind w:firstLine="640" w:firstLineChars="200"/>
        <w:jc w:val="both"/>
        <w:rPr>
          <w:rFonts w:ascii="仿宋" w:hAnsi="仿宋" w:eastAsia="仿宋"/>
          <w:color w:val="000000"/>
          <w:sz w:val="32"/>
          <w:szCs w:val="32"/>
          <w:highlight w:val="none"/>
        </w:rPr>
      </w:pPr>
      <w:r>
        <w:rPr>
          <w:rFonts w:hint="eastAsia" w:ascii="黑体" w:hAnsi="仿宋" w:eastAsia="黑体"/>
          <w:color w:val="000000"/>
          <w:sz w:val="32"/>
          <w:szCs w:val="32"/>
          <w:highlight w:val="none"/>
        </w:rPr>
        <w:t>八、机关运行经费：</w:t>
      </w:r>
      <w:r>
        <w:rPr>
          <w:rFonts w:hint="eastAsia" w:ascii="仿宋" w:hAnsi="仿宋" w:eastAsia="仿宋"/>
          <w:color w:val="000000"/>
          <w:sz w:val="32"/>
          <w:szCs w:val="32"/>
          <w:highlight w:val="none"/>
        </w:rPr>
        <w:t>是指为保障行政单位运行用于购买货物和服务的各项资金，包括办公及印刷费、邮电费、差旅费、会议费、福利费、日常维修费及一般设备购置费、办公用房水电费、办公用房取暖费、公务用车运行维护费以及其他费用。</w:t>
      </w:r>
    </w:p>
    <w:p>
      <w:pPr>
        <w:pStyle w:val="4"/>
        <w:widowControl w:val="0"/>
        <w:shd w:val="clear" w:color="auto" w:fill="FFFFFF"/>
        <w:spacing w:before="0" w:beforeAutospacing="0" w:after="0" w:afterAutospacing="0" w:line="600" w:lineRule="exact"/>
        <w:jc w:val="both"/>
        <w:rPr>
          <w:rFonts w:ascii="仿宋" w:hAnsi="仿宋" w:eastAsia="仿宋"/>
          <w:color w:val="000000"/>
          <w:sz w:val="32"/>
          <w:szCs w:val="32"/>
          <w:highlight w:val="none"/>
        </w:rPr>
      </w:pPr>
    </w:p>
    <w:p>
      <w:pPr>
        <w:pStyle w:val="4"/>
        <w:widowControl w:val="0"/>
        <w:shd w:val="clear" w:color="auto" w:fill="FFFFFF"/>
        <w:spacing w:before="0" w:beforeAutospacing="0" w:after="0" w:afterAutospacing="0" w:line="600" w:lineRule="exact"/>
        <w:jc w:val="both"/>
        <w:rPr>
          <w:rFonts w:ascii="黑体" w:hAnsi="黑体" w:eastAsia="黑体"/>
          <w:color w:val="000000"/>
          <w:sz w:val="32"/>
          <w:szCs w:val="32"/>
          <w:highlight w:val="none"/>
        </w:rPr>
      </w:pPr>
      <w:r>
        <w:rPr>
          <w:rFonts w:hint="eastAsia" w:ascii="黑体" w:hAnsi="黑体" w:eastAsia="黑体"/>
          <w:color w:val="000000"/>
          <w:sz w:val="32"/>
          <w:szCs w:val="32"/>
          <w:highlight w:val="none"/>
        </w:rPr>
        <w:t>附件：</w:t>
      </w:r>
    </w:p>
    <w:p>
      <w:pPr>
        <w:pStyle w:val="4"/>
        <w:widowControl w:val="0"/>
        <w:shd w:val="clear" w:color="auto" w:fill="FFFFFF"/>
        <w:spacing w:before="0" w:beforeAutospacing="0" w:after="0" w:afterAutospacing="0" w:line="600" w:lineRule="exact"/>
        <w:jc w:val="both"/>
        <w:rPr>
          <w:rFonts w:ascii="黑体" w:hAnsi="黑体" w:eastAsia="黑体"/>
          <w:color w:val="000000"/>
          <w:sz w:val="32"/>
          <w:szCs w:val="32"/>
          <w:highlight w:val="none"/>
        </w:rPr>
      </w:pPr>
      <w:r>
        <w:rPr>
          <w:rFonts w:hint="eastAsia" w:ascii="黑体" w:hAnsi="黑体" w:eastAsia="黑体"/>
          <w:color w:val="000000"/>
          <w:sz w:val="32"/>
          <w:szCs w:val="32"/>
          <w:highlight w:val="none"/>
        </w:rPr>
        <w:t>驻马店市政协2022年部门预算表</w:t>
      </w:r>
    </w:p>
    <w:sectPr>
      <w:headerReference r:id="rId3" w:type="default"/>
      <w:footerReference r:id="rId4" w:type="default"/>
      <w:footerReference r:id="rId5" w:type="even"/>
      <w:pgSz w:w="11906" w:h="16838"/>
      <w:pgMar w:top="2098" w:right="1588"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sz w:val="21"/>
        <w:szCs w:val="21"/>
      </w:rPr>
    </w:pPr>
    <w:r>
      <w:rPr>
        <w:rStyle w:val="8"/>
        <w:rFonts w:hint="eastAsia"/>
        <w:sz w:val="21"/>
        <w:szCs w:val="21"/>
      </w:rPr>
      <w:t xml:space="preserve">— </w:t>
    </w:r>
    <w:r>
      <w:rPr>
        <w:rStyle w:val="8"/>
        <w:sz w:val="21"/>
        <w:szCs w:val="21"/>
      </w:rPr>
      <w:fldChar w:fldCharType="begin"/>
    </w:r>
    <w:r>
      <w:rPr>
        <w:rStyle w:val="8"/>
        <w:sz w:val="21"/>
        <w:szCs w:val="21"/>
      </w:rPr>
      <w:instrText xml:space="preserve">PAGE  </w:instrText>
    </w:r>
    <w:r>
      <w:rPr>
        <w:rStyle w:val="8"/>
        <w:sz w:val="21"/>
        <w:szCs w:val="21"/>
      </w:rPr>
      <w:fldChar w:fldCharType="separate"/>
    </w:r>
    <w:r>
      <w:rPr>
        <w:rStyle w:val="8"/>
        <w:sz w:val="21"/>
        <w:szCs w:val="21"/>
      </w:rPr>
      <w:t>15</w:t>
    </w:r>
    <w:r>
      <w:rPr>
        <w:rStyle w:val="8"/>
        <w:sz w:val="21"/>
        <w:szCs w:val="21"/>
      </w:rPr>
      <w:fldChar w:fldCharType="end"/>
    </w:r>
    <w:r>
      <w:rPr>
        <w:rStyle w:val="8"/>
        <w:rFonts w:hint="eastAsia"/>
        <w:sz w:val="21"/>
        <w:szCs w:val="21"/>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C6F91"/>
    <w:multiLevelType w:val="multilevel"/>
    <w:tmpl w:val="06CC6F9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6751"/>
    <w:rsid w:val="000312F7"/>
    <w:rsid w:val="000330F3"/>
    <w:rsid w:val="00040281"/>
    <w:rsid w:val="00064E03"/>
    <w:rsid w:val="00072221"/>
    <w:rsid w:val="00077209"/>
    <w:rsid w:val="0009146C"/>
    <w:rsid w:val="000C4CEB"/>
    <w:rsid w:val="000C526D"/>
    <w:rsid w:val="000C7C98"/>
    <w:rsid w:val="000D65A3"/>
    <w:rsid w:val="000E569D"/>
    <w:rsid w:val="00111477"/>
    <w:rsid w:val="00116D82"/>
    <w:rsid w:val="00117C46"/>
    <w:rsid w:val="00145C79"/>
    <w:rsid w:val="00170362"/>
    <w:rsid w:val="00190F64"/>
    <w:rsid w:val="001916DA"/>
    <w:rsid w:val="00195BAC"/>
    <w:rsid w:val="001A7BDE"/>
    <w:rsid w:val="001C622C"/>
    <w:rsid w:val="001E24D0"/>
    <w:rsid w:val="001E61CB"/>
    <w:rsid w:val="001F319D"/>
    <w:rsid w:val="00207A01"/>
    <w:rsid w:val="00227372"/>
    <w:rsid w:val="00237E92"/>
    <w:rsid w:val="00260DE8"/>
    <w:rsid w:val="0026539D"/>
    <w:rsid w:val="00277317"/>
    <w:rsid w:val="00290A20"/>
    <w:rsid w:val="00292F12"/>
    <w:rsid w:val="00295C9B"/>
    <w:rsid w:val="002A22E3"/>
    <w:rsid w:val="002E0914"/>
    <w:rsid w:val="002E56EB"/>
    <w:rsid w:val="002F74F5"/>
    <w:rsid w:val="00332C12"/>
    <w:rsid w:val="00344EE1"/>
    <w:rsid w:val="00350ECD"/>
    <w:rsid w:val="00363786"/>
    <w:rsid w:val="00377E7C"/>
    <w:rsid w:val="003B067A"/>
    <w:rsid w:val="003D597B"/>
    <w:rsid w:val="003E31FD"/>
    <w:rsid w:val="003F122E"/>
    <w:rsid w:val="003F3EC5"/>
    <w:rsid w:val="00401B93"/>
    <w:rsid w:val="00401FD9"/>
    <w:rsid w:val="004238E6"/>
    <w:rsid w:val="00453661"/>
    <w:rsid w:val="00460833"/>
    <w:rsid w:val="0046232D"/>
    <w:rsid w:val="00463882"/>
    <w:rsid w:val="004646D2"/>
    <w:rsid w:val="00482520"/>
    <w:rsid w:val="00483AB6"/>
    <w:rsid w:val="0048444F"/>
    <w:rsid w:val="004916B5"/>
    <w:rsid w:val="004B07E8"/>
    <w:rsid w:val="004B27B0"/>
    <w:rsid w:val="004D1BCA"/>
    <w:rsid w:val="004E797D"/>
    <w:rsid w:val="0053175C"/>
    <w:rsid w:val="005337C1"/>
    <w:rsid w:val="00552082"/>
    <w:rsid w:val="0056169F"/>
    <w:rsid w:val="00562BFD"/>
    <w:rsid w:val="005911A6"/>
    <w:rsid w:val="005B1313"/>
    <w:rsid w:val="005B3BA2"/>
    <w:rsid w:val="005B7F9A"/>
    <w:rsid w:val="005F37B9"/>
    <w:rsid w:val="00610DF6"/>
    <w:rsid w:val="00616521"/>
    <w:rsid w:val="00624A39"/>
    <w:rsid w:val="00624B88"/>
    <w:rsid w:val="0062759C"/>
    <w:rsid w:val="006339BB"/>
    <w:rsid w:val="00637AE4"/>
    <w:rsid w:val="00641216"/>
    <w:rsid w:val="00650562"/>
    <w:rsid w:val="006527B0"/>
    <w:rsid w:val="00654EF6"/>
    <w:rsid w:val="00660E75"/>
    <w:rsid w:val="00673A56"/>
    <w:rsid w:val="006959E9"/>
    <w:rsid w:val="00696BB9"/>
    <w:rsid w:val="00697D0A"/>
    <w:rsid w:val="006A3E3F"/>
    <w:rsid w:val="006B4328"/>
    <w:rsid w:val="006C693B"/>
    <w:rsid w:val="006D53E5"/>
    <w:rsid w:val="007008B1"/>
    <w:rsid w:val="00710267"/>
    <w:rsid w:val="00713926"/>
    <w:rsid w:val="00715B6F"/>
    <w:rsid w:val="00724FFE"/>
    <w:rsid w:val="00727BEE"/>
    <w:rsid w:val="00737C8B"/>
    <w:rsid w:val="00757FE5"/>
    <w:rsid w:val="0076097A"/>
    <w:rsid w:val="00793B08"/>
    <w:rsid w:val="007A516E"/>
    <w:rsid w:val="007C67BD"/>
    <w:rsid w:val="007C6E7D"/>
    <w:rsid w:val="007E572B"/>
    <w:rsid w:val="00800E88"/>
    <w:rsid w:val="00804611"/>
    <w:rsid w:val="0081421F"/>
    <w:rsid w:val="00822717"/>
    <w:rsid w:val="0084486E"/>
    <w:rsid w:val="00870674"/>
    <w:rsid w:val="008752A7"/>
    <w:rsid w:val="008834E3"/>
    <w:rsid w:val="00897DDC"/>
    <w:rsid w:val="008A4211"/>
    <w:rsid w:val="008A4FF2"/>
    <w:rsid w:val="008B59F5"/>
    <w:rsid w:val="008D3909"/>
    <w:rsid w:val="008D7514"/>
    <w:rsid w:val="00902387"/>
    <w:rsid w:val="00936F72"/>
    <w:rsid w:val="009469BD"/>
    <w:rsid w:val="0095679C"/>
    <w:rsid w:val="0096163A"/>
    <w:rsid w:val="00977A1F"/>
    <w:rsid w:val="0098487A"/>
    <w:rsid w:val="00992E5A"/>
    <w:rsid w:val="009A298A"/>
    <w:rsid w:val="009A5642"/>
    <w:rsid w:val="009A66EC"/>
    <w:rsid w:val="009B7E05"/>
    <w:rsid w:val="009C6751"/>
    <w:rsid w:val="009D34A9"/>
    <w:rsid w:val="009F5018"/>
    <w:rsid w:val="009F6987"/>
    <w:rsid w:val="00A0743D"/>
    <w:rsid w:val="00A1702F"/>
    <w:rsid w:val="00A303B2"/>
    <w:rsid w:val="00A3115E"/>
    <w:rsid w:val="00A52AC3"/>
    <w:rsid w:val="00A574DA"/>
    <w:rsid w:val="00A83602"/>
    <w:rsid w:val="00A868FD"/>
    <w:rsid w:val="00A94645"/>
    <w:rsid w:val="00AA29EA"/>
    <w:rsid w:val="00AB6FD8"/>
    <w:rsid w:val="00AC0225"/>
    <w:rsid w:val="00AC1448"/>
    <w:rsid w:val="00AC7FD7"/>
    <w:rsid w:val="00AD3D5F"/>
    <w:rsid w:val="00AF3A01"/>
    <w:rsid w:val="00B233B5"/>
    <w:rsid w:val="00B26FC8"/>
    <w:rsid w:val="00B346C0"/>
    <w:rsid w:val="00B401AE"/>
    <w:rsid w:val="00B4046A"/>
    <w:rsid w:val="00B56FA6"/>
    <w:rsid w:val="00B81C65"/>
    <w:rsid w:val="00BB184E"/>
    <w:rsid w:val="00BC5915"/>
    <w:rsid w:val="00BC5A67"/>
    <w:rsid w:val="00BC758C"/>
    <w:rsid w:val="00BE416D"/>
    <w:rsid w:val="00BE69F7"/>
    <w:rsid w:val="00BF5300"/>
    <w:rsid w:val="00C06E30"/>
    <w:rsid w:val="00C16E1A"/>
    <w:rsid w:val="00C176EB"/>
    <w:rsid w:val="00C37E17"/>
    <w:rsid w:val="00C43709"/>
    <w:rsid w:val="00C4566C"/>
    <w:rsid w:val="00C669F9"/>
    <w:rsid w:val="00C70045"/>
    <w:rsid w:val="00C76E5A"/>
    <w:rsid w:val="00C832B2"/>
    <w:rsid w:val="00C95F8D"/>
    <w:rsid w:val="00CA03DF"/>
    <w:rsid w:val="00CA5086"/>
    <w:rsid w:val="00CA6760"/>
    <w:rsid w:val="00CB385A"/>
    <w:rsid w:val="00CD205B"/>
    <w:rsid w:val="00CE1B70"/>
    <w:rsid w:val="00D00F78"/>
    <w:rsid w:val="00D22CC9"/>
    <w:rsid w:val="00D24909"/>
    <w:rsid w:val="00D32885"/>
    <w:rsid w:val="00D35E66"/>
    <w:rsid w:val="00D50315"/>
    <w:rsid w:val="00D530C2"/>
    <w:rsid w:val="00D56916"/>
    <w:rsid w:val="00D647AF"/>
    <w:rsid w:val="00D744EF"/>
    <w:rsid w:val="00D8311F"/>
    <w:rsid w:val="00D8496C"/>
    <w:rsid w:val="00D90A8B"/>
    <w:rsid w:val="00D91F50"/>
    <w:rsid w:val="00DB3AC3"/>
    <w:rsid w:val="00DF6C5B"/>
    <w:rsid w:val="00E035E0"/>
    <w:rsid w:val="00E04629"/>
    <w:rsid w:val="00E333C9"/>
    <w:rsid w:val="00E34547"/>
    <w:rsid w:val="00E448EE"/>
    <w:rsid w:val="00E643C2"/>
    <w:rsid w:val="00E762C5"/>
    <w:rsid w:val="00E945F6"/>
    <w:rsid w:val="00E961CB"/>
    <w:rsid w:val="00E96A9D"/>
    <w:rsid w:val="00E96B43"/>
    <w:rsid w:val="00EB110B"/>
    <w:rsid w:val="00EB2919"/>
    <w:rsid w:val="00EB6759"/>
    <w:rsid w:val="00EE6A9D"/>
    <w:rsid w:val="00F03E3F"/>
    <w:rsid w:val="00F120A5"/>
    <w:rsid w:val="00F136E0"/>
    <w:rsid w:val="00F1761D"/>
    <w:rsid w:val="00F53A34"/>
    <w:rsid w:val="00F61DC1"/>
    <w:rsid w:val="00F648C5"/>
    <w:rsid w:val="00F77B3B"/>
    <w:rsid w:val="00F84280"/>
    <w:rsid w:val="00F949FE"/>
    <w:rsid w:val="00FB1179"/>
    <w:rsid w:val="00FB1D10"/>
    <w:rsid w:val="00FC0EEF"/>
    <w:rsid w:val="00FD1955"/>
    <w:rsid w:val="00FF334E"/>
    <w:rsid w:val="00FF57E1"/>
    <w:rsid w:val="02C634AC"/>
    <w:rsid w:val="03956B04"/>
    <w:rsid w:val="047438E9"/>
    <w:rsid w:val="06075D59"/>
    <w:rsid w:val="061100F4"/>
    <w:rsid w:val="064B70D8"/>
    <w:rsid w:val="065B55FF"/>
    <w:rsid w:val="0C27006D"/>
    <w:rsid w:val="0FD24512"/>
    <w:rsid w:val="18F81688"/>
    <w:rsid w:val="190A4084"/>
    <w:rsid w:val="1B406851"/>
    <w:rsid w:val="1B941B73"/>
    <w:rsid w:val="1CB43A7D"/>
    <w:rsid w:val="1D084DD1"/>
    <w:rsid w:val="20A2257A"/>
    <w:rsid w:val="21280A34"/>
    <w:rsid w:val="21531043"/>
    <w:rsid w:val="29811673"/>
    <w:rsid w:val="2B752639"/>
    <w:rsid w:val="38D374AC"/>
    <w:rsid w:val="42516981"/>
    <w:rsid w:val="427D74DB"/>
    <w:rsid w:val="46FB21C6"/>
    <w:rsid w:val="4A2E64DC"/>
    <w:rsid w:val="4BB00ED3"/>
    <w:rsid w:val="4BC63207"/>
    <w:rsid w:val="4C1A7241"/>
    <w:rsid w:val="4C7C0095"/>
    <w:rsid w:val="507B0AFA"/>
    <w:rsid w:val="510A0577"/>
    <w:rsid w:val="52AA6FE4"/>
    <w:rsid w:val="5CCC7B9C"/>
    <w:rsid w:val="5FF44799"/>
    <w:rsid w:val="60C254F6"/>
    <w:rsid w:val="613130B6"/>
    <w:rsid w:val="628F2829"/>
    <w:rsid w:val="64731F08"/>
    <w:rsid w:val="654054A7"/>
    <w:rsid w:val="66D84F6E"/>
    <w:rsid w:val="69E4499D"/>
    <w:rsid w:val="6FA441B1"/>
    <w:rsid w:val="712D5BDE"/>
    <w:rsid w:val="713E0921"/>
    <w:rsid w:val="73C87993"/>
    <w:rsid w:val="74AD32DE"/>
    <w:rsid w:val="79CC4ABB"/>
    <w:rsid w:val="79DC3444"/>
    <w:rsid w:val="7B3A12D0"/>
    <w:rsid w:val="7CF96064"/>
    <w:rsid w:val="7DBD5C41"/>
    <w:rsid w:val="7EF632F2"/>
    <w:rsid w:val="7FB76843"/>
    <w:rsid w:val="FFB7FB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6984</Words>
  <Characters>532</Characters>
  <Lines>4</Lines>
  <Paragraphs>15</Paragraphs>
  <TotalTime>8</TotalTime>
  <ScaleCrop>false</ScaleCrop>
  <LinksUpToDate>false</LinksUpToDate>
  <CharactersWithSpaces>7501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2021-03-31T15:58:00Z</dcterms:created>
  <dc:creator>User</dc:creator>
  <cp:lastModifiedBy>greatwall</cp:lastModifiedBy>
  <cp:lastPrinted>2002-01-01T08:00:00Z</cp:lastPrinted>
  <dcterms:modified xsi:type="dcterms:W3CDTF">2022-04-19T15:30:29Z</dcterms:modified>
  <dc:title>2019年度驻马店市政协部门预算公开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